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2026 году (за отчетный 2025 год)"</w:t>
              <w:br/>
              <w:t xml:space="preserve">(утв. Минтрудом России)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jc w:val="center"/>
      </w:pPr>
      <w:r>
        <w:rPr>
          <w:sz w:val="20"/>
        </w:rPr>
        <w:t xml:space="preserve">МИНИСТЕРСТВО ТРУДА И СОЦИАЛЬНОЙ ЗАЩИТЫ РОССИЙСКОЙ ФЕДЕРАЦИИ</w:t>
      </w:r>
    </w:p>
    <w:p>
      <w:pPr>
        <w:pStyle w:val="2"/>
        <w:jc w:val="center"/>
      </w:pPr>
      <w:r>
        <w:rPr>
          <w:sz w:val="20"/>
        </w:rPr>
      </w:r>
    </w:p>
    <w:p>
      <w:pPr>
        <w:pStyle w:val="2"/>
        <w:jc w:val="center"/>
      </w:pPr>
      <w:r>
        <w:rPr>
          <w:sz w:val="20"/>
        </w:rPr>
        <w:t xml:space="preserve">МЕТОДИЧЕСКИЕ РЕКОМЕНДАЦИИ</w:t>
      </w:r>
    </w:p>
    <w:p>
      <w:pPr>
        <w:pStyle w:val="2"/>
        <w:jc w:val="center"/>
      </w:pPr>
      <w:r>
        <w:rPr>
          <w:sz w:val="20"/>
        </w:rPr>
        <w:t xml:space="preserve">ПО ВОПРОСАМ ПРЕДСТАВЛЕНИЯ СВЕДЕНИЙ О ДОХОДАХ, РАСХОДАХ,</w:t>
      </w:r>
    </w:p>
    <w:p>
      <w:pPr>
        <w:pStyle w:val="2"/>
        <w:jc w:val="center"/>
      </w:pPr>
      <w:r>
        <w:rPr>
          <w:sz w:val="20"/>
        </w:rPr>
        <w:t xml:space="preserve">ОБ ИМУЩЕСТВЕ И ОБЯЗАТЕЛЬСТВАХ ИМУЩЕСТВЕННОГО ХАРАКТЕРА</w:t>
      </w:r>
    </w:p>
    <w:p>
      <w:pPr>
        <w:pStyle w:val="2"/>
        <w:jc w:val="center"/>
      </w:pPr>
      <w:r>
        <w:rPr>
          <w:sz w:val="20"/>
        </w:rPr>
        <w:t xml:space="preserve">И ЗАПОЛНЕНИЯ СООТВЕТСТВУЮЩЕЙ ФОРМЫ СПРАВКИ В 2026 ГОДУ</w:t>
      </w:r>
    </w:p>
    <w:p>
      <w:pPr>
        <w:pStyle w:val="2"/>
        <w:jc w:val="center"/>
      </w:pPr>
      <w:r>
        <w:rPr>
          <w:sz w:val="20"/>
        </w:rPr>
        <w:t xml:space="preserve">(ЗА ОТЧЕТНЫЙ 2025 ГОД)</w:t>
      </w:r>
    </w:p>
    <w:p>
      <w:pPr>
        <w:pStyle w:val="0"/>
        <w:jc w:val="both"/>
      </w:pPr>
      <w:r>
        <w:rPr>
          <w:sz w:val="20"/>
        </w:rPr>
      </w:r>
    </w:p>
    <w:p>
      <w:pPr>
        <w:pStyle w:val="2"/>
        <w:outlineLvl w:val="0"/>
        <w:ind w:firstLine="540"/>
        <w:jc w:val="both"/>
      </w:pPr>
      <w:r>
        <w:rPr>
          <w:sz w:val="20"/>
        </w:rPr>
        <w:t xml:space="preserve">Введение</w:t>
      </w:r>
    </w:p>
    <w:p>
      <w:pPr>
        <w:pStyle w:val="0"/>
        <w:ind w:firstLine="540"/>
        <w:jc w:val="both"/>
      </w:pPr>
      <w:r>
        <w:rPr>
          <w:sz w:val="20"/>
        </w:rPr>
      </w:r>
    </w:p>
    <w:p>
      <w:pPr>
        <w:pStyle w:val="0"/>
        <w:ind w:firstLine="540"/>
        <w:jc w:val="both"/>
      </w:pPr>
      <w:r>
        <w:rPr>
          <w:sz w:val="20"/>
        </w:rPr>
        <w:t xml:space="preserve">Данные Методические рекомендации разработаны с целью рассмотрения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w:t>
      </w:r>
    </w:p>
    <w:p>
      <w:pPr>
        <w:pStyle w:val="0"/>
        <w:spacing w:before="200" w:lineRule="auto"/>
        <w:ind w:firstLine="540"/>
        <w:jc w:val="both"/>
      </w:pPr>
      <w:r>
        <w:rPr>
          <w:sz w:val="20"/>
        </w:rPr>
        <w:t xml:space="preserve">В соответствии с </w:t>
      </w:r>
      <w:hyperlink w:history="0" r:id="rId8" w:tooltip="Указ Президента РФ от 02.04.2013 N 309 (ред. от 31.12.2025)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пунктом 25</w:t>
        </w:r>
      </w:hyperlink>
      <w:r>
        <w:rPr>
          <w:sz w:val="20"/>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Российской Федерации,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pPr>
        <w:pStyle w:val="0"/>
        <w:spacing w:before="200" w:lineRule="auto"/>
        <w:ind w:firstLine="540"/>
        <w:jc w:val="both"/>
      </w:pPr>
      <w:r>
        <w:rPr>
          <w:sz w:val="20"/>
        </w:rPr>
        <w:t xml:space="preserve">Исходя из положения пункта 2 раздела 4 протокола заседания президиума Совета при Президенте Российской Федерации по противодействию коррупции от 24 апреля 2015 г. N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государственным внебюджетным фондам Российской Федерации и иным организациям, созданным Российской Федерацией на основании законов, а также организациям, создаваемым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pPr>
        <w:pStyle w:val="0"/>
        <w:spacing w:before="200" w:lineRule="auto"/>
        <w:ind w:firstLine="540"/>
        <w:jc w:val="both"/>
      </w:pPr>
      <w:r>
        <w:rPr>
          <w:sz w:val="20"/>
        </w:rPr>
        <w:t xml:space="preserve">В свою очередь, исходя из Типового </w:t>
      </w:r>
      <w:hyperlink w:history="0" r:id="rId9" w:tooltip="Указ Президента РФ от 15.07.2015 N 364 (ред. от 31.12.2025)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 подразделении федерального государственного органа по профилактике коррупционных и иных правонарушений и Типового </w:t>
      </w:r>
      <w:hyperlink w:history="0" r:id="rId10" w:tooltip="Указ Президента РФ от 15.07.2015 N 364 (ред. от 31.12.2025)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положения</w:t>
        </w:r>
      </w:hyperlink>
      <w:r>
        <w:rPr>
          <w:sz w:val="20"/>
        </w:rP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w:t>
      </w:r>
      <w:hyperlink w:history="0" r:id="rId11"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w:t>
      </w:r>
      <w:hyperlink w:history="0" r:id="rId1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rP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pPr>
        <w:pStyle w:val="0"/>
        <w:spacing w:before="200" w:lineRule="auto"/>
        <w:ind w:firstLine="540"/>
        <w:jc w:val="both"/>
      </w:pPr>
      <w:r>
        <w:rPr>
          <w:sz w:val="20"/>
        </w:rPr>
        <w:t xml:space="preserve">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pPr>
        <w:pStyle w:val="0"/>
        <w:spacing w:before="200" w:lineRule="auto"/>
        <w:ind w:firstLine="540"/>
        <w:jc w:val="both"/>
      </w:pPr>
      <w:r>
        <w:rPr>
          <w:sz w:val="20"/>
        </w:rPr>
        <w:t xml:space="preserve">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Российской Федерации или аналогичным подразделениям организаций, создаваемых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Вопросы, связанные с использованием специального программного обеспечения "Справки БК" (далее - СПО "Справки БК") версии 3.0.4 и выше, могут быть направлены исключительно сотрудниками подразделений государственных органов, органов местного самоуправления или организаций по профилактике коррупционных и иных правонарушений (должностными лицами, ответственными за работу по профилактике коррупционных и иных правонарушений), а также сотрудниками органов субъектов Российской Федерации по профилактике коррупционных и иных правонарушений на адрес электронной почты: spravki_bk@mintrud.gov.ru с указанием фамилии, имени, отчества (при наличии), должности, структурного подразделения, наименования органа публичной власти (организации), а также контактного номера телефона. Впоследствии поступившие вопросы будут передаваться представителями Минтруда России разработчикам СПО "Справки БК".</w:t>
      </w:r>
    </w:p>
    <w:p>
      <w:pPr>
        <w:pStyle w:val="0"/>
        <w:jc w:val="both"/>
      </w:pPr>
      <w:r>
        <w:rPr>
          <w:sz w:val="20"/>
        </w:rPr>
      </w:r>
    </w:p>
    <w:p>
      <w:pPr>
        <w:pStyle w:val="2"/>
        <w:outlineLvl w:val="0"/>
        <w:jc w:val="center"/>
      </w:pPr>
      <w:r>
        <w:rPr>
          <w:sz w:val="20"/>
        </w:rPr>
        <w:t xml:space="preserve">I. Представление сведений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pPr>
        <w:pStyle w:val="0"/>
        <w:ind w:firstLine="540"/>
        <w:jc w:val="both"/>
      </w:pPr>
      <w:r>
        <w:rPr>
          <w:sz w:val="20"/>
        </w:rPr>
      </w:r>
    </w:p>
    <w:p>
      <w:pPr>
        <w:pStyle w:val="2"/>
        <w:outlineLvl w:val="1"/>
        <w:ind w:firstLine="540"/>
        <w:jc w:val="both"/>
      </w:pPr>
      <w:r>
        <w:rPr>
          <w:sz w:val="20"/>
        </w:rPr>
        <w:t xml:space="preserve">Лица, обязанные представлять сведения о доходах, расходах, об имуществе и обязательствах имущественного характера</w:t>
      </w:r>
    </w:p>
    <w:p>
      <w:pPr>
        <w:pStyle w:val="0"/>
        <w:spacing w:before="200" w:lineRule="auto"/>
        <w:ind w:firstLine="540"/>
        <w:jc w:val="both"/>
      </w:pPr>
      <w:r>
        <w:rPr>
          <w:sz w:val="20"/>
        </w:rPr>
        <w:t xml:space="preserve">1. Сведения о доходах, об имуществе и обязательствах имущественного характера, предусмотренные Федеральным </w:t>
      </w:r>
      <w:hyperlink w:history="0" r:id="rId13" w:tooltip="Федеральный закон от 25.12.2008 N 273-ФЗ (ред. от 28.12.2025) &quot;О противодействии коррупции&quot; {КонсультантПлюс}">
        <w:r>
          <w:rPr>
            <w:sz w:val="20"/>
            <w:color w:val="0000ff"/>
          </w:rPr>
          <w:t xml:space="preserve">законом</w:t>
        </w:r>
      </w:hyperlink>
      <w:r>
        <w:rPr>
          <w:sz w:val="20"/>
        </w:rPr>
        <w:t xml:space="preserve"> от 25 декабря 2008 г. N 273-ФЗ "О противодействии коррупции", и сведения о расходах, предусмотренные Федеральным </w:t>
      </w:r>
      <w:hyperlink w:history="0" r:id="rId14"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 (далее совместно - Сведения), при наличии оснований представляются по </w:t>
      </w:r>
      <w:hyperlink w:history="0" r:id="rId1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справки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pPr>
        <w:pStyle w:val="0"/>
        <w:spacing w:before="200" w:lineRule="auto"/>
        <w:ind w:firstLine="540"/>
        <w:jc w:val="both"/>
      </w:pPr>
      <w:r>
        <w:rPr>
          <w:sz w:val="20"/>
        </w:rPr>
        <w:t xml:space="preserve">1) 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pPr>
        <w:pStyle w:val="0"/>
        <w:spacing w:before="200" w:lineRule="auto"/>
        <w:ind w:firstLine="540"/>
        <w:jc w:val="both"/>
      </w:pPr>
      <w:r>
        <w:rPr>
          <w:sz w:val="20"/>
        </w:rPr>
        <w:t xml:space="preserve">2) 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pPr>
        <w:pStyle w:val="0"/>
        <w:spacing w:before="200" w:lineRule="auto"/>
        <w:ind w:firstLine="540"/>
        <w:jc w:val="both"/>
      </w:pPr>
      <w:r>
        <w:rPr>
          <w:sz w:val="20"/>
        </w:rPr>
        <w:t xml:space="preserve">3) работниками государственных внебюджетных фондов Российской Федерации, государственных корпораций (компаний), публично-правовых компаний, иных организаций, созданных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публично-правовых компаний, организаций;</w:t>
      </w:r>
    </w:p>
    <w:p>
      <w:pPr>
        <w:pStyle w:val="0"/>
        <w:spacing w:before="200" w:lineRule="auto"/>
        <w:ind w:firstLine="540"/>
        <w:jc w:val="both"/>
      </w:pPr>
      <w:r>
        <w:rPr>
          <w:sz w:val="20"/>
        </w:rPr>
        <w:t xml:space="preserve">4) 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5) 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pPr>
        <w:pStyle w:val="0"/>
        <w:spacing w:before="200" w:lineRule="auto"/>
        <w:ind w:firstLine="540"/>
        <w:jc w:val="both"/>
      </w:pPr>
      <w:r>
        <w:rPr>
          <w:sz w:val="20"/>
        </w:rPr>
        <w:t xml:space="preserve">6) 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pPr>
        <w:pStyle w:val="0"/>
        <w:spacing w:before="200" w:lineRule="auto"/>
        <w:ind w:firstLine="540"/>
        <w:jc w:val="both"/>
      </w:pPr>
      <w:r>
        <w:rPr>
          <w:sz w:val="20"/>
        </w:rPr>
        <w:t xml:space="preserve">7) 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pPr>
        <w:pStyle w:val="0"/>
        <w:spacing w:before="200" w:lineRule="auto"/>
        <w:ind w:firstLine="540"/>
        <w:jc w:val="both"/>
      </w:pPr>
      <w:r>
        <w:rPr>
          <w:sz w:val="20"/>
        </w:rPr>
        <w:t xml:space="preserve">8) иными лицами в соответствии с законодательством Российской Федерации.</w:t>
      </w:r>
    </w:p>
    <w:bookmarkStart w:id="35" w:name="P35"/>
    <w:bookmarkEnd w:id="35"/>
    <w:p>
      <w:pPr>
        <w:pStyle w:val="0"/>
        <w:spacing w:before="200" w:lineRule="auto"/>
        <w:ind w:firstLine="540"/>
        <w:jc w:val="both"/>
      </w:pPr>
      <w:r>
        <w:rPr>
          <w:sz w:val="20"/>
        </w:rPr>
        <w:t xml:space="preserve">2. 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pPr>
        <w:pStyle w:val="0"/>
        <w:spacing w:before="200" w:lineRule="auto"/>
        <w:ind w:firstLine="540"/>
        <w:jc w:val="both"/>
      </w:pPr>
      <w:r>
        <w:rPr>
          <w:sz w:val="20"/>
        </w:rPr>
        <w:t xml:space="preserve">1) государственной должности Российской Федерации, государственной должности субъекта Российской Федерации, муниципальной должности;</w:t>
      </w:r>
    </w:p>
    <w:p>
      <w:pPr>
        <w:pStyle w:val="0"/>
        <w:spacing w:before="200" w:lineRule="auto"/>
        <w:ind w:firstLine="540"/>
        <w:jc w:val="both"/>
      </w:pPr>
      <w:r>
        <w:rPr>
          <w:sz w:val="20"/>
        </w:rPr>
        <w:t xml:space="preserve">2) любой должности государственной службы Российской Федерации;</w:t>
      </w:r>
    </w:p>
    <w:p>
      <w:pPr>
        <w:pStyle w:val="0"/>
        <w:spacing w:before="200" w:lineRule="auto"/>
        <w:ind w:firstLine="540"/>
        <w:jc w:val="both"/>
      </w:pPr>
      <w:r>
        <w:rPr>
          <w:sz w:val="20"/>
        </w:rPr>
        <w:t xml:space="preserve">3) должности муниципальной службы, включенной в перечни, утвержденные нормативными правовыми актами Российской Федерации, должность главы местной администрации по контракту;</w:t>
      </w:r>
    </w:p>
    <w:p>
      <w:pPr>
        <w:pStyle w:val="0"/>
        <w:spacing w:before="200" w:lineRule="auto"/>
        <w:ind w:firstLine="540"/>
        <w:jc w:val="both"/>
      </w:pPr>
      <w:r>
        <w:rPr>
          <w:sz w:val="20"/>
        </w:rPr>
        <w:t xml:space="preserve">4) должности в государственных внебюджетных фондах Российской Федерации, государственных корпорациях (компаниях), публично-правовых компаниях, иных организациях, созданных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публично-правовых компаний, организаций;</w:t>
      </w:r>
    </w:p>
    <w:p>
      <w:pPr>
        <w:pStyle w:val="0"/>
        <w:spacing w:before="200" w:lineRule="auto"/>
        <w:ind w:firstLine="540"/>
        <w:jc w:val="both"/>
      </w:pPr>
      <w:r>
        <w:rPr>
          <w:sz w:val="20"/>
        </w:rPr>
        <w:t xml:space="preserve">5) 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pPr>
        <w:pStyle w:val="0"/>
        <w:spacing w:before="200" w:lineRule="auto"/>
        <w:ind w:firstLine="540"/>
        <w:jc w:val="both"/>
      </w:pPr>
      <w:r>
        <w:rPr>
          <w:sz w:val="20"/>
        </w:rPr>
        <w:t xml:space="preserve">6) 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pPr>
        <w:pStyle w:val="0"/>
        <w:spacing w:before="200" w:lineRule="auto"/>
        <w:ind w:firstLine="540"/>
        <w:jc w:val="both"/>
      </w:pPr>
      <w:r>
        <w:rPr>
          <w:sz w:val="20"/>
        </w:rPr>
        <w:t xml:space="preserve">7) должности атамана Всероссийского казачьего общества;</w:t>
      </w:r>
    </w:p>
    <w:p>
      <w:pPr>
        <w:pStyle w:val="0"/>
        <w:spacing w:before="200" w:lineRule="auto"/>
        <w:ind w:firstLine="540"/>
        <w:jc w:val="both"/>
      </w:pPr>
      <w:r>
        <w:rPr>
          <w:sz w:val="20"/>
        </w:rPr>
        <w:t xml:space="preserve">8) 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pPr>
        <w:pStyle w:val="0"/>
        <w:spacing w:before="200" w:lineRule="auto"/>
        <w:ind w:firstLine="540"/>
        <w:jc w:val="both"/>
      </w:pPr>
      <w:r>
        <w:rPr>
          <w:sz w:val="20"/>
        </w:rPr>
        <w:t xml:space="preserve">9) иных должностей в соответствии с законодательством Российской Федерации.</w:t>
      </w:r>
    </w:p>
    <w:p>
      <w:pPr>
        <w:pStyle w:val="0"/>
        <w:spacing w:before="200" w:lineRule="auto"/>
        <w:ind w:firstLine="540"/>
        <w:jc w:val="both"/>
      </w:pPr>
      <w:r>
        <w:rPr>
          <w:sz w:val="20"/>
        </w:rPr>
        <w:t xml:space="preserve">3. Государственный служащий Российской Федерации (далее - государственный служащий)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о доходах, об имуществе и обязательствах имущественного характера при рассмотрении вопроса о включении в названный резерв согласно </w:t>
      </w:r>
      <w:hyperlink w:history="0" r:id="rId16" w:tooltip="Указ Президента РФ от 22.01.2024 N 61 (ред. от 31.12.2025)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КонсультантПлюс}">
        <w:r>
          <w:rPr>
            <w:sz w:val="20"/>
            <w:color w:val="0000ff"/>
          </w:rPr>
          <w:t xml:space="preserve">Указу</w:t>
        </w:r>
      </w:hyperlink>
      <w:r>
        <w:rPr>
          <w:sz w:val="20"/>
        </w:rPr>
        <w:t xml:space="preserve"> Президента Российской Федерации от 22 января 2024 г. N 61 "О федеральном кадровом резерве на государственной гражданской службе Российской Федерации" (далее - Указ Президента Российской Федерации N 61).</w:t>
      </w:r>
    </w:p>
    <w:p>
      <w:pPr>
        <w:pStyle w:val="0"/>
        <w:spacing w:before="200" w:lineRule="auto"/>
        <w:ind w:firstLine="540"/>
        <w:jc w:val="both"/>
      </w:pPr>
      <w:r>
        <w:rPr>
          <w:sz w:val="20"/>
        </w:rPr>
        <w:t xml:space="preserve">При заполнении с использованием СПО "Справки БК" версии 2.5.5 или версии 3.0.4 титульного листа справки:</w:t>
      </w:r>
    </w:p>
    <w:p>
      <w:pPr>
        <w:pStyle w:val="0"/>
        <w:spacing w:before="200" w:lineRule="auto"/>
        <w:ind w:firstLine="540"/>
        <w:jc w:val="both"/>
      </w:pPr>
      <w:r>
        <w:rPr>
          <w:sz w:val="20"/>
        </w:rPr>
        <w:t xml:space="preserve">в строке "Куда подается справка" возможно указать Управление Президента Российской Федерации по вопросам государственной службы, кадров и противодействия коррупции либо кадровую службу или иное уполномоченное подразделение государственного органа, обеспечивающее деятельность лица, обладающего полномочиями по выдвижению кандидатов для включения в федеральный кадровый резерв;</w:t>
      </w:r>
    </w:p>
    <w:p>
      <w:pPr>
        <w:pStyle w:val="0"/>
        <w:spacing w:before="200" w:lineRule="auto"/>
        <w:ind w:firstLine="540"/>
        <w:jc w:val="both"/>
      </w:pPr>
      <w:r>
        <w:rPr>
          <w:sz w:val="20"/>
        </w:rPr>
        <w:t xml:space="preserve">в строке "В связи с чем подается справка" рекомендуется выбрать "иное" и указать, что лицо претендует на включение в федеральный кадровый резерв.</w:t>
      </w:r>
    </w:p>
    <w:p>
      <w:pPr>
        <w:pStyle w:val="0"/>
        <w:spacing w:before="200" w:lineRule="auto"/>
        <w:ind w:firstLine="540"/>
        <w:jc w:val="both"/>
      </w:pPr>
      <w:r>
        <w:rPr>
          <w:sz w:val="20"/>
        </w:rPr>
        <w:t xml:space="preserve">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hyperlink w:history="0" r:id="rId17" w:tooltip="Указ Президента РФ от 22.01.2024 N 61 (ред. от 31.12.2025) &quot;О федеральном кадровом резерве на государственной гражданской службе Российской Федерации&quot; (вместе с &quot;Положением о федеральном кадровом резерве на государственной гражданской службе Российской Федерации&quot;, &quot;Положением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КонсультантПлюс}">
        <w:r>
          <w:rPr>
            <w:sz w:val="20"/>
            <w:color w:val="0000ff"/>
          </w:rPr>
          <w:t xml:space="preserve">пункт 4</w:t>
        </w:r>
      </w:hyperlink>
      <w:r>
        <w:rPr>
          <w:sz w:val="20"/>
        </w:rPr>
        <w:t xml:space="preserve">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N 61).</w:t>
      </w:r>
    </w:p>
    <w:bookmarkStart w:id="50" w:name="P50"/>
    <w:bookmarkEnd w:id="50"/>
    <w:p>
      <w:pPr>
        <w:pStyle w:val="0"/>
        <w:spacing w:before="200" w:lineRule="auto"/>
        <w:ind w:firstLine="540"/>
        <w:jc w:val="both"/>
      </w:pPr>
      <w:r>
        <w:rPr>
          <w:sz w:val="20"/>
        </w:rPr>
        <w:t xml:space="preserve">4. Сведения о доходах, об имуществе и обязательствах имущественного характера представляются государственным служащим, претендующим на замещение любой должности государственной службы в данном государственном органе, включенной в перечень должностей, установленный нормативными правовыми актами Российской Федерации (см., например, </w:t>
      </w:r>
      <w:hyperlink w:history="0" r:id="rId18" w:tooltip="Указ Президента РФ от 18.05.2009 N 557 (ред. от 26.02.2024)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w:t>
        </w:r>
      </w:hyperlink>
      <w:r>
        <w:rPr>
          <w:sz w:val="20"/>
        </w:rPr>
        <w:t xml:space="preserve"> Президента Российской Федерации от 18 мая 2009 г. N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Аналогично в отношении муниципальных служащих. Необходимо учитывать особенность заполнения </w:t>
      </w:r>
      <w:hyperlink w:history="0" r:id="rId1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данной категорией лиц, предусмотренной </w:t>
      </w:r>
      <w:hyperlink w:history="0" w:anchor="P428" w:tooltip="92. Представление сведений о расходах при отсутствии указанных в пункте 89 настоящих Методических рекомендаций оснований не является нарушением.">
        <w:r>
          <w:rPr>
            <w:sz w:val="20"/>
            <w:color w:val="0000ff"/>
          </w:rPr>
          <w:t xml:space="preserve">пунктом 92</w:t>
        </w:r>
      </w:hyperlink>
      <w:r>
        <w:rPr>
          <w:sz w:val="20"/>
        </w:rPr>
        <w:t xml:space="preserve"> настоящих Методических рекомендаций.</w:t>
      </w:r>
    </w:p>
    <w:bookmarkStart w:id="51" w:name="P51"/>
    <w:bookmarkEnd w:id="51"/>
    <w:p>
      <w:pPr>
        <w:pStyle w:val="0"/>
        <w:spacing w:before="200" w:lineRule="auto"/>
        <w:ind w:firstLine="540"/>
        <w:jc w:val="both"/>
      </w:pPr>
      <w:r>
        <w:rPr>
          <w:sz w:val="20"/>
        </w:rPr>
        <w:t xml:space="preserve">5. Сведения о доходах, об имуществе и обязательствах имущественного характера представляются государственным служащим, назначаемым на должность в порядке перевода из другого государственного органа.</w:t>
      </w:r>
    </w:p>
    <w:p>
      <w:pPr>
        <w:pStyle w:val="0"/>
        <w:ind w:firstLine="540"/>
        <w:jc w:val="both"/>
      </w:pPr>
      <w:r>
        <w:rPr>
          <w:sz w:val="20"/>
        </w:rPr>
      </w:r>
    </w:p>
    <w:p>
      <w:pPr>
        <w:pStyle w:val="2"/>
        <w:outlineLvl w:val="1"/>
        <w:ind w:firstLine="540"/>
        <w:jc w:val="both"/>
      </w:pPr>
      <w:r>
        <w:rPr>
          <w:sz w:val="20"/>
        </w:rPr>
        <w:t xml:space="preserve">Обязательность представления Сведений</w:t>
      </w:r>
    </w:p>
    <w:p>
      <w:pPr>
        <w:pStyle w:val="0"/>
        <w:spacing w:before="200" w:lineRule="auto"/>
        <w:ind w:firstLine="540"/>
        <w:jc w:val="both"/>
      </w:pPr>
      <w:r>
        <w:rPr>
          <w:sz w:val="20"/>
        </w:rPr>
        <w:t xml:space="preserve">6. 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w:t>
      </w:r>
      <w:hyperlink w:history="0" r:id="rId20" w:tooltip="Федеральный конституционный закон от 04.10.2022 N 5-ФКЗ (ред. от 28.12.2025)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с изм. и доп., вступ. в силу с 01.01.2026) {КонсультантПлюс}">
        <w:r>
          <w:rPr>
            <w:sz w:val="20"/>
            <w:color w:val="0000ff"/>
          </w:rPr>
          <w:t xml:space="preserve">N 5-ФКЗ</w:t>
        </w:r>
      </w:hyperlink>
      <w:r>
        <w:rPr>
          <w:sz w:val="20"/>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1" w:tooltip="Федеральный конституционный закон от 04.10.2022 N 6-ФКЗ (ред. от 28.12.2025)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с изм. и доп., вступ. в силу с 01.01.2026) {КонсультантПлюс}">
        <w:r>
          <w:rPr>
            <w:sz w:val="20"/>
            <w:color w:val="0000ff"/>
          </w:rPr>
          <w:t xml:space="preserve">N 6-ФКЗ</w:t>
        </w:r>
      </w:hyperlink>
      <w:r>
        <w:rPr>
          <w:sz w:val="20"/>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2" w:tooltip="Федеральный конституционный закон от 04.10.2022 N 7-ФКЗ (ред. от 28.12.2025) &quot;О принятии в Российскую Федерацию Запорожской области и образовании в составе Российской Федерации нового субъекта - Запорожской области&quot; (с изм. и доп., вступ. в силу с 01.01.2026) {КонсультантПлюс}">
        <w:r>
          <w:rPr>
            <w:sz w:val="20"/>
            <w:color w:val="0000ff"/>
          </w:rPr>
          <w:t xml:space="preserve">N 7-ФКЗ</w:t>
        </w:r>
      </w:hyperlink>
      <w:r>
        <w:rPr>
          <w:sz w:val="20"/>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3"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0"/>
            <w:color w:val="0000ff"/>
          </w:rPr>
          <w:t xml:space="preserve">N 8-ФКЗ</w:t>
        </w:r>
      </w:hyperlink>
      <w:r>
        <w:rPr>
          <w:sz w:val="20"/>
        </w:rPr>
        <w:t xml:space="preserve"> "О принятии в Российскую Федерацию Херсонской области и образовании в составе Российской Федерации нового субъекта - Херсонской области" и </w:t>
      </w:r>
      <w:hyperlink w:history="0" r:id="rId24" w:tooltip="Указ Президента РФ от 06.12.2022 N 886 (ред. от 29.12.2025) &quot;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quot; (вместе с &quot;Положением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 {КонсультантПлюс}">
        <w:r>
          <w:rPr>
            <w:sz w:val="20"/>
            <w:color w:val="0000ff"/>
          </w:rPr>
          <w:t xml:space="preserve">Указа</w:t>
        </w:r>
      </w:hyperlink>
      <w:r>
        <w:rPr>
          <w:sz w:val="20"/>
        </w:rPr>
        <w:t xml:space="preserve"> Президента Российской Федерации от 6 декабря 2022 г. N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2026 года.</w:t>
      </w:r>
    </w:p>
    <w:p>
      <w:pPr>
        <w:pStyle w:val="0"/>
        <w:spacing w:before="200" w:lineRule="auto"/>
        <w:ind w:firstLine="540"/>
        <w:jc w:val="both"/>
      </w:pPr>
      <w:r>
        <w:rPr>
          <w:sz w:val="20"/>
        </w:rPr>
        <w:t xml:space="preserve">7. 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претендующие на замещение должностей федеральной государственной службы, предусмотренных соответствующим перечнем должностей, не представляют Сведения в случае если:</w:t>
      </w:r>
    </w:p>
    <w:p>
      <w:pPr>
        <w:pStyle w:val="0"/>
        <w:spacing w:before="200" w:lineRule="auto"/>
        <w:ind w:firstLine="540"/>
        <w:jc w:val="both"/>
      </w:pPr>
      <w:r>
        <w:rPr>
          <w:sz w:val="20"/>
        </w:rPr>
        <w:t xml:space="preserve">1) 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2) 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Дополнительные пояснения содержатся в Инструктивно-методических </w:t>
      </w:r>
      <w:hyperlink w:history="0" r:id="rId25" w:tooltip="&lt;Письмо&gt; Минтруда России от 21.03.2023 N 28-6/10/П-2161 &lt;О направлении Инструктивно-методических материалов&gt; (вместе с &quot;Инструктивно-методическими материалами по вопросам реализации Указа Президента Российской Федерации от 29 декабря 2022 г.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материалах</w:t>
        </w:r>
      </w:hyperlink>
      <w:r>
        <w:rPr>
          <w:sz w:val="20"/>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26">
        <w:r>
          <w:rPr>
            <w:sz w:val="20"/>
            <w:color w:val="0000ff"/>
          </w:rPr>
          <w:t xml:space="preserve">https://mintrud.gov.ru/ministry/programms/anticorruption/9/23</w:t>
        </w:r>
      </w:hyperlink>
      <w:r>
        <w:rPr>
          <w:sz w:val="20"/>
        </w:rPr>
        <w:t xml:space="preserve">).</w:t>
      </w:r>
    </w:p>
    <w:p>
      <w:pPr>
        <w:pStyle w:val="0"/>
        <w:spacing w:before="200" w:lineRule="auto"/>
        <w:ind w:firstLine="540"/>
        <w:jc w:val="both"/>
      </w:pPr>
      <w:r>
        <w:rPr>
          <w:sz w:val="20"/>
        </w:rPr>
        <w:t xml:space="preserve">8. 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законодательством Российской Федерации о противодействии коррупции не освобождают от обязанности представить Сведения.</w:t>
      </w:r>
    </w:p>
    <w:p>
      <w:pPr>
        <w:pStyle w:val="0"/>
        <w:spacing w:before="200" w:lineRule="auto"/>
        <w:ind w:firstLine="540"/>
        <w:jc w:val="both"/>
      </w:pPr>
      <w:r>
        <w:rPr>
          <w:sz w:val="20"/>
        </w:rPr>
        <w:t xml:space="preserve">9. 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pPr>
        <w:pStyle w:val="0"/>
        <w:spacing w:before="200" w:lineRule="auto"/>
        <w:ind w:firstLine="540"/>
        <w:jc w:val="both"/>
      </w:pPr>
      <w:r>
        <w:rPr>
          <w:sz w:val="20"/>
        </w:rPr>
        <w:t xml:space="preserve">Вышеуказанные лица не представляют Сведения в рамках декларационной кампании 2026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pPr>
        <w:pStyle w:val="0"/>
        <w:spacing w:before="200" w:lineRule="auto"/>
        <w:ind w:firstLine="540"/>
        <w:jc w:val="both"/>
      </w:pPr>
      <w:r>
        <w:rPr>
          <w:sz w:val="20"/>
        </w:rPr>
        <w:t xml:space="preserve">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pPr>
        <w:pStyle w:val="0"/>
        <w:spacing w:before="200" w:lineRule="auto"/>
        <w:ind w:firstLine="540"/>
        <w:jc w:val="both"/>
      </w:pPr>
      <w:r>
        <w:rPr>
          <w:sz w:val="20"/>
        </w:rPr>
        <w:t xml:space="preserve">Дополнительные пояснения содержатся в Инструктивно-методических </w:t>
      </w:r>
      <w:hyperlink w:history="0" r:id="rId27" w:tooltip="&lt;Письмо&gt; Минтруда России от 21.03.2023 N 28-6/10/П-2161 &lt;О направлении Инструктивно-методических материалов&gt; (вместе с &quot;Инструктивно-методическими материалами по вопросам реализации Указа Президента Российской Федерации от 29 декабря 2022 г.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материалах</w:t>
        </w:r>
      </w:hyperlink>
      <w:r>
        <w:rPr>
          <w:sz w:val="20"/>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28">
        <w:r>
          <w:rPr>
            <w:sz w:val="20"/>
            <w:color w:val="0000ff"/>
          </w:rPr>
          <w:t xml:space="preserve">https://mintrud.gov.ru/ministry/programms/anticorruption/9/23</w:t>
        </w:r>
      </w:hyperlink>
      <w:r>
        <w:rPr>
          <w:sz w:val="20"/>
        </w:rPr>
        <w:t xml:space="preserve">).</w:t>
      </w:r>
    </w:p>
    <w:p>
      <w:pPr>
        <w:pStyle w:val="0"/>
        <w:spacing w:before="200" w:lineRule="auto"/>
        <w:ind w:firstLine="540"/>
        <w:jc w:val="both"/>
      </w:pPr>
      <w:r>
        <w:rPr>
          <w:sz w:val="20"/>
        </w:rPr>
        <w:t xml:space="preserve">10. Лица, призванные на военную службу по мобилизации или заключившие в соответствии с </w:t>
      </w:r>
      <w:hyperlink w:history="0" r:id="rId29" w:tooltip="Федеральный закон от 28.03.1998 N 53-ФЗ (ред. от 28.12.2025) &quot;О воинской обязанности и военной службе&quot;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pPr>
        <w:pStyle w:val="0"/>
        <w:spacing w:before="200" w:lineRule="auto"/>
        <w:ind w:firstLine="540"/>
        <w:jc w:val="both"/>
      </w:pPr>
      <w:r>
        <w:rPr>
          <w:sz w:val="20"/>
        </w:rPr>
        <w:t xml:space="preserve">11. 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w:t>
      </w:r>
      <w:hyperlink w:history="0" r:id="rId30" w:tooltip="Федеральный закон от 28.03.1998 N 53-ФЗ (ред. от 28.12.2025) &quot;О воинской обязанности и военной службе&quot; {КонсультантПлюс}">
        <w:r>
          <w:rPr>
            <w:sz w:val="20"/>
            <w:color w:val="0000ff"/>
          </w:rPr>
          <w:t xml:space="preserve">пунктом 7 статьи 38</w:t>
        </w:r>
      </w:hyperlink>
      <w:r>
        <w:rPr>
          <w:sz w:val="20"/>
        </w:rPr>
        <w:t xml:space="preserve"> Федерального закона от 28 марта 1998 г. N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bookmarkStart w:id="67" w:name="P67"/>
    <w:bookmarkEnd w:id="67"/>
    <w:p>
      <w:pPr>
        <w:pStyle w:val="0"/>
        <w:spacing w:before="200" w:lineRule="auto"/>
        <w:ind w:firstLine="540"/>
        <w:jc w:val="both"/>
      </w:pPr>
      <w:r>
        <w:rPr>
          <w:sz w:val="20"/>
        </w:rPr>
        <w:t xml:space="preserve">12.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w:t>
      </w:r>
      <w:hyperlink w:history="0" w:anchor="P75" w:tooltip="14. Государственные служащие, претендующие на замещение должности государственной службы в данном государственном органе, включенной в перечень должностей, представляют сведения о доходах, об имуществе и обязательствах имущественного характера до издания акта о назначении на должность. Аналогично в отношении муниципальных служащих и в отношении государственных служащих, назначаемых на любые должности в порядке перевода из другого государственного органа.">
        <w:r>
          <w:rPr>
            <w:sz w:val="20"/>
            <w:color w:val="0000ff"/>
          </w:rPr>
          <w:t xml:space="preserve">пункте 14</w:t>
        </w:r>
      </w:hyperlink>
      <w:r>
        <w:rPr>
          <w:sz w:val="20"/>
        </w:rPr>
        <w:t xml:space="preserve"> настоящих Методических рекомендаций.</w:t>
      </w:r>
    </w:p>
    <w:p>
      <w:pPr>
        <w:pStyle w:val="0"/>
        <w:ind w:firstLine="540"/>
        <w:jc w:val="both"/>
      </w:pPr>
      <w:r>
        <w:rPr>
          <w:sz w:val="20"/>
        </w:rPr>
      </w:r>
    </w:p>
    <w:p>
      <w:pPr>
        <w:pStyle w:val="2"/>
        <w:outlineLvl w:val="1"/>
        <w:ind w:firstLine="540"/>
        <w:jc w:val="both"/>
      </w:pPr>
      <w:r>
        <w:rPr>
          <w:sz w:val="20"/>
        </w:rPr>
        <w:t xml:space="preserve">Сроки представления Сведений</w:t>
      </w:r>
    </w:p>
    <w:p>
      <w:pPr>
        <w:pStyle w:val="0"/>
        <w:spacing w:before="200" w:lineRule="auto"/>
        <w:ind w:firstLine="540"/>
        <w:jc w:val="both"/>
      </w:pPr>
      <w:r>
        <w:rPr>
          <w:sz w:val="20"/>
        </w:rPr>
        <w:t xml:space="preserve">13. Граждане представляют сведения о доходах, об имуществе и обязательствах имущественного характера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с учетом особенностей, указанных в настоящих Методических рекомендациях.</w:t>
      </w:r>
    </w:p>
    <w:p>
      <w:pPr>
        <w:pStyle w:val="0"/>
        <w:spacing w:before="200" w:lineRule="auto"/>
        <w:ind w:firstLine="540"/>
        <w:jc w:val="both"/>
      </w:pPr>
      <w:r>
        <w:rPr>
          <w:sz w:val="20"/>
        </w:rPr>
        <w:t xml:space="preserve">В случае, если при наделении гражданина полномочиями по должности, назначение на которую осуществляется Президентом Российской Федерации или Правительством Российской Федерации, сведения о доходах, об имуществе и обязательствах имущественного характера не представлялись, они представляются в течение четырех месяцев со дня назначения на такую должность.</w:t>
      </w:r>
    </w:p>
    <w:p>
      <w:pPr>
        <w:pStyle w:val="0"/>
        <w:spacing w:before="200" w:lineRule="auto"/>
        <w:ind w:firstLine="540"/>
        <w:jc w:val="both"/>
      </w:pPr>
      <w:r>
        <w:rPr>
          <w:sz w:val="20"/>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о доходах, об имуществе и обязательствах имущественного характера. Сведения о доходах, об имуществе и обязательствах имущественного характера представляются перед назначением на должность государственной гражданской службы Российской Федерации.</w:t>
      </w:r>
    </w:p>
    <w:p>
      <w:pPr>
        <w:pStyle w:val="0"/>
        <w:spacing w:before="200" w:lineRule="auto"/>
        <w:ind w:firstLine="540"/>
        <w:jc w:val="both"/>
      </w:pPr>
      <w:r>
        <w:rPr>
          <w:sz w:val="20"/>
        </w:rPr>
        <w:t xml:space="preserve">Атаманы войсковых казачьих обществ, избранные высшим органом управления войсковых казачьих обществ, представляют сведения о доходах, об имуществе и обязательствах имущественного характера при внесении Президенту Российской Федерации представления об утверждении атамана войскового казачьего общества.</w:t>
      </w:r>
    </w:p>
    <w:p>
      <w:pPr>
        <w:pStyle w:val="0"/>
        <w:spacing w:before="200" w:lineRule="auto"/>
        <w:ind w:firstLine="540"/>
        <w:jc w:val="both"/>
      </w:pPr>
      <w:r>
        <w:rPr>
          <w:sz w:val="20"/>
        </w:rPr>
        <w:t xml:space="preserve">Гражданин, претендующий на замещение должности атамана Всероссийского казачьего общества, представляет сведения о доходах, об имуществе и обязательствах имущественного характера при подаче документов для подготовки представления о назначении на указанную должность.</w:t>
      </w:r>
    </w:p>
    <w:bookmarkStart w:id="75" w:name="P75"/>
    <w:bookmarkEnd w:id="75"/>
    <w:p>
      <w:pPr>
        <w:pStyle w:val="0"/>
        <w:spacing w:before="200" w:lineRule="auto"/>
        <w:ind w:firstLine="540"/>
        <w:jc w:val="both"/>
      </w:pPr>
      <w:r>
        <w:rPr>
          <w:sz w:val="20"/>
        </w:rPr>
        <w:t xml:space="preserve">14. Государственные служащие, претендующие на замещение должности государственной службы в данном государственном органе, включенной в перечень должностей, представляют сведения о доходах, об имуществе и обязательствах имущественного характера до издания акта о назначении на должность. Аналогично в отношении муниципальных служащих и в отношении государственных служащих, назначаемых на любые должности в порядке перевода из другого государственного органа.</w:t>
      </w:r>
    </w:p>
    <w:p>
      <w:pPr>
        <w:pStyle w:val="0"/>
        <w:spacing w:before="200" w:lineRule="auto"/>
        <w:ind w:firstLine="540"/>
        <w:jc w:val="both"/>
      </w:pPr>
      <w:r>
        <w:rPr>
          <w:sz w:val="20"/>
        </w:rPr>
        <w:t xml:space="preserve">15. Служащие (работники) представляют Сведения не позднее 30 апреля года, следующего за годом, в котором возникли основания для представления сведений о расходах в соответствии с Федеральным </w:t>
      </w:r>
      <w:hyperlink w:history="0" r:id="rId31"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16. Сведения могут быть представлены служащим (работником) в любое время, начиная с 1 января года, следующего за отчетным.</w:t>
      </w:r>
    </w:p>
    <w:p>
      <w:pPr>
        <w:pStyle w:val="0"/>
        <w:spacing w:before="200" w:lineRule="auto"/>
        <w:ind w:firstLine="540"/>
        <w:jc w:val="both"/>
      </w:pPr>
      <w:r>
        <w:rPr>
          <w:sz w:val="20"/>
        </w:rPr>
        <w:t xml:space="preserve">17. 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pPr>
        <w:pStyle w:val="0"/>
        <w:spacing w:before="200" w:lineRule="auto"/>
        <w:ind w:firstLine="540"/>
        <w:jc w:val="both"/>
      </w:pPr>
      <w:r>
        <w:rPr>
          <w:sz w:val="20"/>
        </w:rPr>
        <w:t xml:space="preserve">18. 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w:t>
      </w:r>
      <w:hyperlink w:history="0" w:anchor="P67" w:tooltip="12. 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14 настоящих Методических рекомендаций.">
        <w:r>
          <w:rPr>
            <w:sz w:val="20"/>
            <w:color w:val="0000ff"/>
          </w:rPr>
          <w:t xml:space="preserve">пункте 12</w:t>
        </w:r>
      </w:hyperlink>
      <w:r>
        <w:rPr>
          <w:sz w:val="20"/>
        </w:rPr>
        <w:t xml:space="preserve"> настоящих Методических рекомендаций.</w:t>
      </w:r>
    </w:p>
    <w:p>
      <w:pPr>
        <w:pStyle w:val="0"/>
        <w:spacing w:before="200" w:lineRule="auto"/>
        <w:ind w:firstLine="540"/>
        <w:jc w:val="both"/>
      </w:pPr>
      <w:r>
        <w:rPr>
          <w:sz w:val="20"/>
        </w:rPr>
        <w:t xml:space="preserve">Нерабочий день не является основанием для переноса срока представления Сведений.</w:t>
      </w:r>
    </w:p>
    <w:p>
      <w:pPr>
        <w:pStyle w:val="0"/>
        <w:spacing w:before="200" w:lineRule="auto"/>
        <w:ind w:firstLine="540"/>
        <w:jc w:val="both"/>
      </w:pPr>
      <w:r>
        <w:rPr>
          <w:sz w:val="20"/>
        </w:rPr>
        <w:t xml:space="preserve">19. Временно исполняющий обязанности высшего должностного лица субъекта Российской Федерации представляет сведения о доходах, об имуществе и обязательствах имущественного характера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w:t>
      </w:r>
      <w:hyperlink w:history="0" r:id="rId32" w:tooltip="Федеральный закон от 21.12.2021 N 414-ФЗ (ред. от 25.05.2026) &quot;Об общих принципах организации публичной власти в субъектах Российской Федерации&quot; ------------ Недействующая редакция {КонсультантПлюс}">
        <w:r>
          <w:rPr>
            <w:sz w:val="20"/>
            <w:color w:val="0000ff"/>
          </w:rPr>
          <w:t xml:space="preserve">частью 9 статьи 27</w:t>
        </w:r>
      </w:hyperlink>
      <w:r>
        <w:rPr>
          <w:sz w:val="20"/>
        </w:rPr>
        <w:t xml:space="preserve"> Федерального закона от 21 декабря 2021 г. N 414-ФЗ "Об общих принципах организации публичной власти в субъектах Российской Федерации".</w:t>
      </w:r>
    </w:p>
    <w:p>
      <w:pPr>
        <w:pStyle w:val="0"/>
        <w:spacing w:before="200" w:lineRule="auto"/>
        <w:ind w:firstLine="540"/>
        <w:jc w:val="both"/>
      </w:pPr>
      <w:r>
        <w:rPr>
          <w:sz w:val="20"/>
        </w:rPr>
        <w:t xml:space="preserve">20. 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w:t>
      </w:r>
      <w:hyperlink w:history="0" r:id="rId33" w:tooltip="Федеральный закон от 20.03.2025 N 33-ФЗ (ред. от 09.04.2026) &quot;Об общих принципах организации местного самоуправления в единой системе публичной власти&quot; {КонсультантПлюс}">
        <w:r>
          <w:rPr>
            <w:sz w:val="20"/>
            <w:color w:val="0000ff"/>
          </w:rPr>
          <w:t xml:space="preserve">частью 6 статьи 19</w:t>
        </w:r>
      </w:hyperlink>
      <w:r>
        <w:rPr>
          <w:sz w:val="20"/>
        </w:rPr>
        <w:t xml:space="preserve"> и </w:t>
      </w:r>
      <w:hyperlink w:history="0" r:id="rId34" w:tooltip="Федеральный закон от 20.03.2025 N 33-ФЗ (ред. от 09.04.2026) &quot;Об общих принципах организации местного самоуправления в единой системе публичной власти&quot; {КонсультантПлюс}">
        <w:r>
          <w:rPr>
            <w:sz w:val="20"/>
            <w:color w:val="0000ff"/>
          </w:rPr>
          <w:t xml:space="preserve">частью 16 статьи 21</w:t>
        </w:r>
      </w:hyperlink>
      <w:r>
        <w:rPr>
          <w:sz w:val="20"/>
        </w:rPr>
        <w:t xml:space="preserve"> Федерального закона от 20 марта 2025 г. N 33-ФЗ "Об общих принципах организации местного самоуправления в единой системе публичной власти", представляет Сведения в порядке, установленном для главы муниципального образования. Также им представляются сведения о доходах, об имуществе и обязательствах имущественного характера в течение 15 дней со дня назначения в соответствии с </w:t>
      </w:r>
      <w:hyperlink w:history="0" r:id="rId35" w:tooltip="Федеральный закон от 20.03.2025 N 33-ФЗ (ред. от 09.04.2026) &quot;Об общих принципах организации местного самоуправления в единой системе публичной власти&quot; {КонсультантПлюс}">
        <w:r>
          <w:rPr>
            <w:sz w:val="20"/>
            <w:color w:val="0000ff"/>
          </w:rPr>
          <w:t xml:space="preserve">частью 27 статьи 19</w:t>
        </w:r>
      </w:hyperlink>
      <w:r>
        <w:rPr>
          <w:sz w:val="20"/>
        </w:rPr>
        <w:t xml:space="preserve"> указанного Федерального закона.</w:t>
      </w:r>
    </w:p>
    <w:p>
      <w:pPr>
        <w:pStyle w:val="0"/>
        <w:ind w:firstLine="540"/>
        <w:jc w:val="both"/>
      </w:pPr>
      <w:r>
        <w:rPr>
          <w:sz w:val="20"/>
        </w:rPr>
      </w:r>
    </w:p>
    <w:p>
      <w:pPr>
        <w:pStyle w:val="2"/>
        <w:outlineLvl w:val="1"/>
        <w:ind w:firstLine="540"/>
        <w:jc w:val="both"/>
      </w:pPr>
      <w:r>
        <w:rPr>
          <w:sz w:val="20"/>
        </w:rPr>
        <w:t xml:space="preserve">Лица, в отношении которых представляются Сведения</w:t>
      </w:r>
    </w:p>
    <w:p>
      <w:pPr>
        <w:pStyle w:val="0"/>
        <w:spacing w:before="200" w:lineRule="auto"/>
        <w:ind w:firstLine="540"/>
        <w:jc w:val="both"/>
      </w:pPr>
      <w:r>
        <w:rPr>
          <w:sz w:val="20"/>
        </w:rPr>
        <w:t xml:space="preserve">21. Сведения представляются отдельно:</w:t>
      </w:r>
    </w:p>
    <w:p>
      <w:pPr>
        <w:pStyle w:val="0"/>
        <w:spacing w:before="200" w:lineRule="auto"/>
        <w:ind w:firstLine="540"/>
        <w:jc w:val="both"/>
      </w:pPr>
      <w:r>
        <w:rPr>
          <w:sz w:val="20"/>
        </w:rPr>
        <w:t xml:space="preserve">1) в отношении служащего (работника),</w:t>
      </w:r>
    </w:p>
    <w:p>
      <w:pPr>
        <w:pStyle w:val="0"/>
        <w:spacing w:before="200" w:lineRule="auto"/>
        <w:ind w:firstLine="540"/>
        <w:jc w:val="both"/>
      </w:pPr>
      <w:r>
        <w:rPr>
          <w:sz w:val="20"/>
        </w:rPr>
        <w:t xml:space="preserve">2) в отношении его супруги (супруга),</w:t>
      </w:r>
    </w:p>
    <w:p>
      <w:pPr>
        <w:pStyle w:val="0"/>
        <w:spacing w:before="200" w:lineRule="auto"/>
        <w:ind w:firstLine="540"/>
        <w:jc w:val="both"/>
      </w:pPr>
      <w:r>
        <w:rPr>
          <w:sz w:val="20"/>
        </w:rPr>
        <w:t xml:space="preserve">3) в отношении каждого несовершеннолетнего ребенка служащего (работника).</w:t>
      </w:r>
    </w:p>
    <w:p>
      <w:pPr>
        <w:pStyle w:val="0"/>
        <w:spacing w:before="200" w:lineRule="auto"/>
        <w:ind w:firstLine="540"/>
        <w:jc w:val="both"/>
      </w:pPr>
      <w:r>
        <w:rPr>
          <w:sz w:val="20"/>
        </w:rPr>
        <w:t xml:space="preserve">Например, служащий (работник), имеющий супругу и двоих несовершеннолетних детей, обязан представить четыре </w:t>
      </w:r>
      <w:hyperlink w:history="0" r:id="rId3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w:t>
      </w:r>
      <w:hyperlink w:history="0" r:id="rId3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ind w:firstLine="540"/>
        <w:jc w:val="both"/>
      </w:pPr>
      <w:r>
        <w:rPr>
          <w:sz w:val="20"/>
        </w:rPr>
      </w:r>
    </w:p>
    <w:p>
      <w:pPr>
        <w:pStyle w:val="2"/>
        <w:outlineLvl w:val="1"/>
        <w:ind w:firstLine="540"/>
        <w:jc w:val="both"/>
      </w:pPr>
      <w:r>
        <w:rPr>
          <w:sz w:val="20"/>
        </w:rPr>
        <w:t xml:space="preserve">Отчетный период и отчетная дата представления Сведений</w:t>
      </w:r>
    </w:p>
    <w:bookmarkStart w:id="92" w:name="P92"/>
    <w:bookmarkEnd w:id="92"/>
    <w:p>
      <w:pPr>
        <w:pStyle w:val="0"/>
        <w:spacing w:before="200" w:lineRule="auto"/>
        <w:ind w:firstLine="540"/>
        <w:jc w:val="both"/>
      </w:pPr>
      <w:r>
        <w:rPr>
          <w:sz w:val="20"/>
        </w:rPr>
        <w:t xml:space="preserve">22. Отчетный период и отчетная дата представления сведений о доходах, об имуществе и обязательствах имущественного характера, установленные для граждан и служащих (работников), различны:</w:t>
      </w:r>
    </w:p>
    <w:p>
      <w:pPr>
        <w:pStyle w:val="0"/>
        <w:spacing w:before="200" w:lineRule="auto"/>
        <w:ind w:firstLine="540"/>
        <w:jc w:val="both"/>
      </w:pPr>
      <w:r>
        <w:rPr>
          <w:sz w:val="20"/>
        </w:rPr>
        <w:t xml:space="preserve">1) гражданин, а также в случаях, указанных в </w:t>
      </w:r>
      <w:hyperlink w:history="0" w:anchor="P50" w:tooltip="4. Сведения о доходах, об имуществе и обязательствах имущественного характера представляются государственным служащим, претендующим на замещение любой должности государственной службы в данном государственном органе, включенной в перечень должностей, установленный нормативными правовыми актами Российской Федерации (см., например, Указ Президента Российской Федерации от 18 мая 2009 г. N 557 &quot;Об утверждении перечня должностей федеральной государственной службы, при замещении которых федеральные государстве...">
        <w:r>
          <w:rPr>
            <w:sz w:val="20"/>
            <w:color w:val="0000ff"/>
          </w:rPr>
          <w:t xml:space="preserve">пунктах 4</w:t>
        </w:r>
      </w:hyperlink>
      <w:r>
        <w:rPr>
          <w:sz w:val="20"/>
        </w:rPr>
        <w:t xml:space="preserve"> и </w:t>
      </w:r>
      <w:hyperlink w:history="0" w:anchor="P51" w:tooltip="5. Сведения о доходах, об имуществе и обязательствах имущественного характера представляются государственным служащим, назначаемым на должность в порядке перевода из другого государственного органа.">
        <w:r>
          <w:rPr>
            <w:sz w:val="20"/>
            <w:color w:val="0000ff"/>
          </w:rPr>
          <w:t xml:space="preserve">5</w:t>
        </w:r>
      </w:hyperlink>
      <w:r>
        <w:rPr>
          <w:sz w:val="20"/>
        </w:rPr>
        <w:t xml:space="preserve"> настоящих Методических рекомендаций, служащий представляет:</w:t>
      </w:r>
    </w:p>
    <w:p>
      <w:pPr>
        <w:pStyle w:val="0"/>
        <w:spacing w:before="200" w:lineRule="auto"/>
        <w:ind w:firstLine="540"/>
        <w:jc w:val="both"/>
      </w:pPr>
      <w:r>
        <w:rPr>
          <w:sz w:val="20"/>
        </w:rPr>
        <w:t xml:space="preserve">а) сведения о своих доходах, доходах своих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pPr>
        <w:pStyle w:val="0"/>
        <w:spacing w:before="200" w:lineRule="auto"/>
        <w:ind w:firstLine="540"/>
        <w:jc w:val="both"/>
      </w:pPr>
      <w:r>
        <w:rPr>
          <w:sz w:val="20"/>
        </w:rPr>
        <w:t xml:space="preserve">2) служащий (работник) в рамках декларационной кампании представляет:</w:t>
      </w:r>
    </w:p>
    <w:p>
      <w:pPr>
        <w:pStyle w:val="0"/>
        <w:spacing w:before="200" w:lineRule="auto"/>
        <w:ind w:firstLine="540"/>
        <w:jc w:val="both"/>
      </w:pPr>
      <w:r>
        <w:rPr>
          <w:sz w:val="20"/>
        </w:rPr>
        <w:t xml:space="preserve">а) сведения о своих доходах, доходах своих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pPr>
        <w:pStyle w:val="0"/>
        <w:spacing w:before="200" w:lineRule="auto"/>
        <w:ind w:firstLine="540"/>
        <w:jc w:val="both"/>
      </w:pPr>
      <w:r>
        <w:rPr>
          <w:sz w:val="20"/>
        </w:rPr>
        <w:t xml:space="preserve">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pPr>
        <w:pStyle w:val="0"/>
        <w:spacing w:before="200" w:lineRule="auto"/>
        <w:ind w:firstLine="540"/>
        <w:jc w:val="both"/>
      </w:pPr>
      <w:r>
        <w:rPr>
          <w:sz w:val="20"/>
        </w:rPr>
        <w:t xml:space="preserve">3) лицо при назначении временно исполняющим обязанности высшего должностного лица субъекта Российской Федерации или временно исполняющим полномочия главы муниципального образования представляет сведения о своих доходах, доходах своих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pPr>
        <w:pStyle w:val="0"/>
        <w:spacing w:before="200" w:lineRule="auto"/>
        <w:ind w:firstLine="540"/>
        <w:jc w:val="both"/>
      </w:pPr>
      <w:r>
        <w:rPr>
          <w:sz w:val="20"/>
        </w:rPr>
        <w:t xml:space="preserve">23. Необходимо учитывать, что дата печати </w:t>
      </w:r>
      <w:hyperlink w:history="0" r:id="rId3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автоматически формируется в зоне служебной информации (в правом нижнем углу </w:t>
      </w:r>
      <w:hyperlink w:history="0" r:id="rId3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связи с этим важно обращать внимание на ситуации, при которых отчетная дата напрямую зависит от месяца представления </w:t>
      </w:r>
      <w:hyperlink w:history="0" r:id="rId4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(например, если гражданин планирует представить сведения в августе 2026 года, то отчетной датой будет являться 1 июля 2026 года: в таком случае рекомендуется распечатывать </w:t>
      </w:r>
      <w:hyperlink w:history="0" r:id="rId4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также в августе 2026 года).</w:t>
      </w:r>
    </w:p>
    <w:p>
      <w:pPr>
        <w:pStyle w:val="0"/>
        <w:ind w:firstLine="540"/>
        <w:jc w:val="both"/>
      </w:pPr>
      <w:r>
        <w:rPr>
          <w:sz w:val="20"/>
        </w:rPr>
      </w:r>
    </w:p>
    <w:p>
      <w:pPr>
        <w:pStyle w:val="2"/>
        <w:outlineLvl w:val="1"/>
        <w:ind w:firstLine="540"/>
        <w:jc w:val="both"/>
      </w:pPr>
      <w:r>
        <w:rPr>
          <w:sz w:val="20"/>
        </w:rPr>
        <w:t xml:space="preserve">Замещение конкретной должности на отчетную дату как основание для представления Сведений</w:t>
      </w:r>
    </w:p>
    <w:p>
      <w:pPr>
        <w:pStyle w:val="0"/>
        <w:spacing w:before="200" w:lineRule="auto"/>
        <w:ind w:firstLine="540"/>
        <w:jc w:val="both"/>
      </w:pPr>
      <w:r>
        <w:rPr>
          <w:sz w:val="20"/>
        </w:rPr>
        <w:t xml:space="preserve">24. Представление Сведений после увольнения служащего (работника) в период с 1 января по 30 апреля 2026 г. не требуется.</w:t>
      </w:r>
    </w:p>
    <w:p>
      <w:pPr>
        <w:pStyle w:val="0"/>
        <w:spacing w:before="200" w:lineRule="auto"/>
        <w:ind w:firstLine="540"/>
        <w:jc w:val="both"/>
      </w:pPr>
      <w:r>
        <w:rPr>
          <w:sz w:val="20"/>
        </w:rPr>
        <w:t xml:space="preserve">25. В случае замещения работником в одной организации нескольких должностей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которые включены в соответствующий перечень, то таким работником при наличии оснований в рамках декларационной кампании заполняется одна </w:t>
      </w:r>
      <w:hyperlink w:history="0" r:id="rId4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с указанием обеих должностей.</w:t>
      </w:r>
    </w:p>
    <w:p>
      <w:pPr>
        <w:pStyle w:val="0"/>
        <w:spacing w:before="200" w:lineRule="auto"/>
        <w:ind w:firstLine="540"/>
        <w:jc w:val="both"/>
      </w:pPr>
      <w:r>
        <w:rPr>
          <w:sz w:val="20"/>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в разных организациях должности, которые включены в соответствующий перечень, представляет при наличии оснований в рамках декларационной кампании в данные организации две </w:t>
      </w:r>
      <w:hyperlink w:history="0" r:id="rId4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(заполняются отдельно для каждой должности). Количество </w:t>
      </w:r>
      <w:hyperlink w:history="0" r:id="rId4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представляемых в отношении членов семьи, не меняется.</w:t>
      </w:r>
    </w:p>
    <w:p>
      <w:pPr>
        <w:pStyle w:val="0"/>
        <w:spacing w:before="200" w:lineRule="auto"/>
        <w:ind w:firstLine="540"/>
        <w:jc w:val="both"/>
      </w:pPr>
      <w:r>
        <w:rPr>
          <w:sz w:val="20"/>
        </w:rPr>
        <w:t xml:space="preserve">Члены Совета федеральной территории "Сириус" при наличии оснований в рамках декларационной кампании представляют </w:t>
      </w:r>
      <w:hyperlink w:history="0" r:id="rId4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w:t>
      </w:r>
      <w:hyperlink w:history="0" r:id="rId46" w:tooltip="Федеральный закон от 22.12.2020 N 437-ФЗ (ред. от 29.12.2025) &quot;О федеральной территории &quot;Сириус&quot; {КонсультантПлюс}">
        <w:r>
          <w:rPr>
            <w:sz w:val="20"/>
            <w:color w:val="0000ff"/>
          </w:rPr>
          <w:t xml:space="preserve">часть 9 статьи 12</w:t>
        </w:r>
      </w:hyperlink>
      <w:r>
        <w:rPr>
          <w:sz w:val="20"/>
        </w:rPr>
        <w:t xml:space="preserve"> Федерального закона от 22 декабря 2020 г. N 437-ФЗ "О федеральной территории "Сириус").</w:t>
      </w:r>
    </w:p>
    <w:p>
      <w:pPr>
        <w:pStyle w:val="0"/>
        <w:spacing w:before="200" w:lineRule="auto"/>
        <w:ind w:firstLine="540"/>
        <w:jc w:val="both"/>
      </w:pPr>
      <w:r>
        <w:rPr>
          <w:sz w:val="20"/>
        </w:rPr>
        <w:t xml:space="preserve">Депутат муниципального образования, обладающий, например, статусом депутата муниципального района и соответствующего городского поселения, при наличии оснований в рамках декларационной кампании может представить одну </w:t>
      </w:r>
      <w:hyperlink w:history="0" r:id="rId4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на титульном </w:t>
      </w:r>
      <w:hyperlink w:history="0" r:id="rId4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которой укажет обе замещаемые муниципальные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pPr>
        <w:pStyle w:val="0"/>
        <w:ind w:firstLine="540"/>
        <w:jc w:val="both"/>
      </w:pPr>
      <w:r>
        <w:rPr>
          <w:sz w:val="20"/>
        </w:rPr>
      </w:r>
    </w:p>
    <w:p>
      <w:pPr>
        <w:pStyle w:val="2"/>
        <w:outlineLvl w:val="1"/>
        <w:ind w:firstLine="540"/>
        <w:jc w:val="both"/>
      </w:pPr>
      <w:r>
        <w:rPr>
          <w:sz w:val="20"/>
        </w:rPr>
        <w:t xml:space="preserve">Определение круга лиц (членов семьи), в отношении которых необходимо представить Сведения</w:t>
      </w:r>
    </w:p>
    <w:p>
      <w:pPr>
        <w:pStyle w:val="0"/>
        <w:spacing w:before="200" w:lineRule="auto"/>
        <w:ind w:firstLine="540"/>
        <w:jc w:val="both"/>
      </w:pPr>
      <w:r>
        <w:rPr>
          <w:sz w:val="20"/>
        </w:rPr>
        <w:t xml:space="preserve">26. Сведения представляются с учетом семейного положения, в котором находился гражданин, служащий (работник) по состоянию на отчетную дату.</w:t>
      </w:r>
    </w:p>
    <w:p>
      <w:pPr>
        <w:pStyle w:val="0"/>
        <w:ind w:firstLine="540"/>
        <w:jc w:val="both"/>
      </w:pPr>
      <w:r>
        <w:rPr>
          <w:sz w:val="20"/>
        </w:rPr>
      </w:r>
    </w:p>
    <w:p>
      <w:pPr>
        <w:pStyle w:val="2"/>
        <w:outlineLvl w:val="2"/>
        <w:ind w:firstLine="540"/>
        <w:jc w:val="both"/>
      </w:pPr>
      <w:r>
        <w:rPr>
          <w:sz w:val="20"/>
        </w:rPr>
        <w:t xml:space="preserve">Супруги</w:t>
      </w:r>
    </w:p>
    <w:p>
      <w:pPr>
        <w:pStyle w:val="0"/>
        <w:spacing w:before="200" w:lineRule="auto"/>
        <w:ind w:firstLine="540"/>
        <w:jc w:val="both"/>
      </w:pPr>
      <w:r>
        <w:rPr>
          <w:sz w:val="20"/>
        </w:rPr>
        <w:t xml:space="preserve">27. При представлении Сведений в отношении супруги (супруга) следует учитывать положения </w:t>
      </w:r>
      <w:hyperlink w:history="0" r:id="rId49" w:tooltip="&quot;Семейный кодекс Российской Федерации&quot; от 29.12.1995 N 223-ФЗ (ред. от 23.03.2026, с изм. от 15.05.2026) {КонсультантПлюс}">
        <w:r>
          <w:rPr>
            <w:sz w:val="20"/>
            <w:color w:val="0000ff"/>
          </w:rPr>
          <w:t xml:space="preserve">статей 10</w:t>
        </w:r>
      </w:hyperlink>
      <w:r>
        <w:rPr>
          <w:sz w:val="20"/>
        </w:rPr>
        <w:t xml:space="preserve"> "Заключение брака" и </w:t>
      </w:r>
      <w:hyperlink w:history="0" r:id="rId50" w:tooltip="&quot;Семейный кодекс Российской Федерации&quot; от 29.12.1995 N 223-ФЗ (ред. от 23.03.2026, с изм. от 15.05.2026) {КонсультантПлюс}">
        <w:r>
          <w:rPr>
            <w:sz w:val="20"/>
            <w:color w:val="0000ff"/>
          </w:rPr>
          <w:t xml:space="preserve">25</w:t>
        </w:r>
      </w:hyperlink>
      <w:r>
        <w:rPr>
          <w:sz w:val="20"/>
        </w:rPr>
        <w:t xml:space="preserve"> "Момент прекращения брака при его расторжении" Семейного кодекса Российской Федерации.</w:t>
      </w:r>
    </w:p>
    <w:p>
      <w:pPr>
        <w:pStyle w:val="0"/>
        <w:spacing w:before="200" w:lineRule="auto"/>
        <w:ind w:firstLine="540"/>
        <w:jc w:val="both"/>
      </w:pPr>
      <w:r>
        <w:rPr>
          <w:sz w:val="20"/>
        </w:rPr>
        <w:t xml:space="preserve">28. Согласно </w:t>
      </w:r>
      <w:hyperlink w:history="0" r:id="rId51" w:tooltip="&quot;Семейный кодекс Российской Федерации&quot; от 29.12.1995 N 223-ФЗ (ред. от 23.03.2026, с изм. от 15.05.2026) {КонсультантПлюс}">
        <w:r>
          <w:rPr>
            <w:sz w:val="20"/>
            <w:color w:val="0000ff"/>
          </w:rPr>
          <w:t xml:space="preserve">статье 10</w:t>
        </w:r>
      </w:hyperlink>
      <w:r>
        <w:rPr>
          <w:sz w:val="20"/>
        </w:rPr>
        <w:t xml:space="preserve">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pPr>
        <w:pStyle w:val="0"/>
        <w:spacing w:before="200" w:lineRule="auto"/>
        <w:ind w:firstLine="540"/>
        <w:jc w:val="both"/>
      </w:pPr>
      <w:r>
        <w:rPr>
          <w:sz w:val="20"/>
        </w:rPr>
        <w:t xml:space="preserve">Перечень ситуаций и рекомендуемые действия (таблица N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2026 году (за отчетный 2025 год)</w:t>
            </w:r>
          </w:p>
        </w:tc>
      </w:tr>
      <w:tr>
        <w:tc>
          <w:tcPr>
            <w:tcW w:w="2891" w:type="dxa"/>
          </w:tcPr>
          <w:p>
            <w:pPr>
              <w:pStyle w:val="0"/>
            </w:pPr>
            <w:r>
              <w:rPr>
                <w:sz w:val="20"/>
              </w:rPr>
              <w:t xml:space="preserve">Брак заключен в органах записи актов гражданского состояния (далее - ЗАГС) в ноябре 2025 года</w:t>
            </w:r>
          </w:p>
        </w:tc>
        <w:tc>
          <w:tcPr>
            <w:tcW w:w="6180" w:type="dxa"/>
          </w:tcPr>
          <w:p>
            <w:pPr>
              <w:pStyle w:val="0"/>
              <w:jc w:val="both"/>
            </w:pPr>
            <w:r>
              <w:rPr>
                <w:sz w:val="20"/>
              </w:rPr>
              <w:t xml:space="preserve">Сведения в отношении супруги (супруга) представляются, поскольку по состоянию на отчетную дату (31 декабря 2025 года) служащий (работник) состоял в браке</w:t>
            </w:r>
          </w:p>
        </w:tc>
      </w:tr>
      <w:tr>
        <w:tc>
          <w:tcPr>
            <w:tcW w:w="2891" w:type="dxa"/>
          </w:tcPr>
          <w:p>
            <w:pPr>
              <w:pStyle w:val="0"/>
              <w:jc w:val="both"/>
            </w:pPr>
            <w:r>
              <w:rPr>
                <w:sz w:val="20"/>
              </w:rPr>
              <w:t xml:space="preserve">Брак заключен в ЗАГСе в марте 2026 года</w:t>
            </w:r>
          </w:p>
        </w:tc>
        <w:tc>
          <w:tcPr>
            <w:tcW w:w="6180" w:type="dxa"/>
          </w:tcPr>
          <w:p>
            <w:pPr>
              <w:pStyle w:val="0"/>
              <w:jc w:val="both"/>
            </w:pPr>
            <w:r>
              <w:rPr>
                <w:sz w:val="20"/>
              </w:rPr>
              <w:t xml:space="preserve">Сведения в отношении супруги (супруга) не представляются, поскольку по состоянию на отчетную дату (31 декабря 2025 года) служащий (работник) не состоял в браке</w:t>
            </w:r>
          </w:p>
        </w:tc>
      </w:tr>
      <w:tr>
        <w:tc>
          <w:tcPr>
            <w:gridSpan w:val="2"/>
            <w:tcW w:w="9071" w:type="dxa"/>
          </w:tcPr>
          <w:p>
            <w:pPr>
              <w:pStyle w:val="0"/>
              <w:jc w:val="both"/>
            </w:pPr>
            <w:r>
              <w:rPr>
                <w:sz w:val="20"/>
              </w:rPr>
              <w:t xml:space="preserve">Пример: гражданин в сентябре 2026 года представляет Сведения в связи с подачей документов для назначения на должность. Отчетной датой является 1 августа 2026 года</w:t>
            </w:r>
          </w:p>
        </w:tc>
      </w:tr>
      <w:tr>
        <w:tc>
          <w:tcPr>
            <w:tcW w:w="2891" w:type="dxa"/>
          </w:tcPr>
          <w:p>
            <w:pPr>
              <w:pStyle w:val="0"/>
              <w:jc w:val="both"/>
            </w:pPr>
            <w:r>
              <w:rPr>
                <w:sz w:val="20"/>
              </w:rPr>
              <w:t xml:space="preserve">Брак заключен 1 февраля 2026 года</w:t>
            </w:r>
          </w:p>
        </w:tc>
        <w:tc>
          <w:tcPr>
            <w:tcW w:w="6180" w:type="dxa"/>
          </w:tcPr>
          <w:p>
            <w:pPr>
              <w:pStyle w:val="0"/>
              <w:jc w:val="both"/>
            </w:pPr>
            <w:r>
              <w:rPr>
                <w:sz w:val="20"/>
              </w:rPr>
              <w:t xml:space="preserve">Сведения в отношении супруги (супруга) представляются, поскольку по состоянию на отчетную дату (1 августа 2026 года) гражданин состоял в браке</w:t>
            </w:r>
          </w:p>
        </w:tc>
      </w:tr>
      <w:tr>
        <w:tc>
          <w:tcPr>
            <w:tcW w:w="2891" w:type="dxa"/>
          </w:tcPr>
          <w:p>
            <w:pPr>
              <w:pStyle w:val="0"/>
              <w:jc w:val="both"/>
            </w:pPr>
            <w:r>
              <w:rPr>
                <w:sz w:val="20"/>
              </w:rPr>
              <w:t xml:space="preserve">Брак заключен 2 августа 2026 года</w:t>
            </w:r>
          </w:p>
        </w:tc>
        <w:tc>
          <w:tcPr>
            <w:tcW w:w="6180" w:type="dxa"/>
          </w:tcPr>
          <w:p>
            <w:pPr>
              <w:pStyle w:val="0"/>
              <w:jc w:val="both"/>
            </w:pPr>
            <w:r>
              <w:rPr>
                <w:sz w:val="20"/>
              </w:rPr>
              <w:t xml:space="preserve">Сведения в отношении супруги (супруга) не представляются, поскольку по состоянию на отчетную дату (1 августа 2026 года) гражданин еще не состоял в браке</w:t>
            </w:r>
          </w:p>
        </w:tc>
      </w:tr>
    </w:tbl>
    <w:p>
      <w:pPr>
        <w:pStyle w:val="0"/>
        <w:jc w:val="both"/>
      </w:pPr>
      <w:r>
        <w:rPr>
          <w:sz w:val="20"/>
        </w:rPr>
      </w:r>
    </w:p>
    <w:p>
      <w:pPr>
        <w:pStyle w:val="0"/>
        <w:ind w:firstLine="540"/>
        <w:jc w:val="both"/>
      </w:pPr>
      <w:r>
        <w:rPr>
          <w:sz w:val="20"/>
        </w:rPr>
        <w:t xml:space="preserve">29. Согласно </w:t>
      </w:r>
      <w:hyperlink w:history="0" r:id="rId52" w:tooltip="&quot;Семейный кодекс Российской Федерации&quot; от 29.12.1995 N 223-ФЗ (ред. от 23.03.2026, с изм. от 15.05.2026) {КонсультантПлюс}">
        <w:r>
          <w:rPr>
            <w:sz w:val="20"/>
            <w:color w:val="0000ff"/>
          </w:rPr>
          <w:t xml:space="preserve">статье 25</w:t>
        </w:r>
      </w:hyperlink>
      <w:r>
        <w:rPr>
          <w:sz w:val="20"/>
        </w:rPr>
        <w:t xml:space="preserve">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pPr>
        <w:pStyle w:val="0"/>
        <w:spacing w:before="200" w:lineRule="auto"/>
        <w:ind w:firstLine="540"/>
        <w:jc w:val="both"/>
      </w:pPr>
      <w:r>
        <w:rPr>
          <w:sz w:val="20"/>
        </w:rPr>
        <w:t xml:space="preserve">Перечень ситуаций и рекомендуемые действия (таблица N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2026 году (за отчетный 2025 год)</w:t>
            </w:r>
          </w:p>
        </w:tc>
      </w:tr>
      <w:tr>
        <w:tc>
          <w:tcPr>
            <w:tcW w:w="2891" w:type="dxa"/>
          </w:tcPr>
          <w:p>
            <w:pPr>
              <w:pStyle w:val="0"/>
              <w:jc w:val="both"/>
            </w:pPr>
            <w:r>
              <w:rPr>
                <w:sz w:val="20"/>
              </w:rPr>
              <w:t xml:space="preserve">Брак был расторгнут в ЗАГСе в ноябре 2025 года</w:t>
            </w:r>
          </w:p>
        </w:tc>
        <w:tc>
          <w:tcPr>
            <w:tcW w:w="6180" w:type="dxa"/>
          </w:tcPr>
          <w:p>
            <w:pPr>
              <w:pStyle w:val="0"/>
              <w:jc w:val="both"/>
            </w:pPr>
            <w:r>
              <w:rPr>
                <w:sz w:val="20"/>
              </w:rPr>
              <w:t xml:space="preserve">Сведения в отношении бывшей супруги (бывшего супруга) не представляются, поскольку по состоянию на отчетную дату (31 декабря 2025 года) служащий (работник) не состоял в браке</w:t>
            </w:r>
          </w:p>
        </w:tc>
      </w:tr>
      <w:tr>
        <w:tc>
          <w:tcPr>
            <w:tcW w:w="2891" w:type="dxa"/>
          </w:tcPr>
          <w:p>
            <w:pPr>
              <w:pStyle w:val="0"/>
              <w:jc w:val="both"/>
            </w:pPr>
            <w:r>
              <w:rPr>
                <w:sz w:val="20"/>
              </w:rPr>
              <w:t xml:space="preserve">Окончательное решение о расторжении брака было принято судом 12 декабря 2025 года и вступило в законную силу 12 января 2026 года</w:t>
            </w:r>
          </w:p>
        </w:tc>
        <w:tc>
          <w:tcPr>
            <w:tcW w:w="6180" w:type="dxa"/>
          </w:tcPr>
          <w:p>
            <w:pPr>
              <w:pStyle w:val="0"/>
              <w:jc w:val="both"/>
            </w:pPr>
            <w:r>
              <w:rPr>
                <w:sz w:val="20"/>
              </w:rPr>
              <w:t xml:space="preserve">Сведения в отношении бывшей супруги (бывшего супруга)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2026 года. Таким образом, по состоянию на отчетную дату (31 декабря 2025 года) служащий (работник) считался состоявшим в браке</w:t>
            </w:r>
          </w:p>
        </w:tc>
      </w:tr>
      <w:tr>
        <w:tc>
          <w:tcPr>
            <w:tcW w:w="2891" w:type="dxa"/>
          </w:tcPr>
          <w:p>
            <w:pPr>
              <w:pStyle w:val="0"/>
              <w:jc w:val="both"/>
            </w:pPr>
            <w:r>
              <w:rPr>
                <w:sz w:val="20"/>
              </w:rPr>
              <w:t xml:space="preserve">Брак был расторгнут в ЗАГСе в марте 2026 года</w:t>
            </w:r>
          </w:p>
        </w:tc>
        <w:tc>
          <w:tcPr>
            <w:tcW w:w="6180" w:type="dxa"/>
          </w:tcPr>
          <w:p>
            <w:pPr>
              <w:pStyle w:val="0"/>
              <w:jc w:val="both"/>
            </w:pPr>
            <w:r>
              <w:rPr>
                <w:sz w:val="20"/>
              </w:rPr>
              <w:t xml:space="preserve">Сведения в отношении бывшей супруги (бывшего супруга) представляются, поскольку по состоянию на отчетную дату (31 декабря 2025 года) служащий (работник) состоял в браке</w:t>
            </w:r>
          </w:p>
        </w:tc>
      </w:tr>
      <w:tr>
        <w:tc>
          <w:tcPr>
            <w:gridSpan w:val="2"/>
            <w:tcW w:w="9071" w:type="dxa"/>
          </w:tcPr>
          <w:p>
            <w:pPr>
              <w:pStyle w:val="0"/>
              <w:jc w:val="both"/>
            </w:pPr>
            <w:r>
              <w:rPr>
                <w:sz w:val="20"/>
              </w:rPr>
              <w:t xml:space="preserve">Пример: гражданин в сентябре 2026 года представляет Сведения в связи с подачей документов для назначения на должность. Отчетной датой является 1 августа 2026 года</w:t>
            </w:r>
          </w:p>
        </w:tc>
      </w:tr>
      <w:tr>
        <w:tc>
          <w:tcPr>
            <w:tcW w:w="2891" w:type="dxa"/>
          </w:tcPr>
          <w:p>
            <w:pPr>
              <w:pStyle w:val="0"/>
              <w:jc w:val="both"/>
            </w:pPr>
            <w:r>
              <w:rPr>
                <w:sz w:val="20"/>
              </w:rPr>
              <w:t xml:space="preserve">Брак был расторгнут в ЗАГСе 1 июля 2026 года</w:t>
            </w:r>
          </w:p>
        </w:tc>
        <w:tc>
          <w:tcPr>
            <w:tcW w:w="6180" w:type="dxa"/>
          </w:tcPr>
          <w:p>
            <w:pPr>
              <w:pStyle w:val="0"/>
              <w:jc w:val="both"/>
            </w:pPr>
            <w:r>
              <w:rPr>
                <w:sz w:val="20"/>
              </w:rPr>
              <w:t xml:space="preserve">Сведения в отношении бывшей супруги (бывшего супруга) не представляются, поскольку по состоянию на отчетную дату (1 августа 2026 года) гражданин не состоял в браке</w:t>
            </w:r>
          </w:p>
        </w:tc>
      </w:tr>
      <w:tr>
        <w:tc>
          <w:tcPr>
            <w:tcW w:w="2891" w:type="dxa"/>
          </w:tcPr>
          <w:p>
            <w:pPr>
              <w:pStyle w:val="0"/>
              <w:jc w:val="both"/>
            </w:pPr>
            <w:r>
              <w:rPr>
                <w:sz w:val="20"/>
              </w:rPr>
              <w:t xml:space="preserve">Брак был расторгнут в ЗАГСе 2 августа 2026 года</w:t>
            </w:r>
          </w:p>
        </w:tc>
        <w:tc>
          <w:tcPr>
            <w:tcW w:w="6180" w:type="dxa"/>
          </w:tcPr>
          <w:p>
            <w:pPr>
              <w:pStyle w:val="0"/>
              <w:jc w:val="both"/>
            </w:pPr>
            <w:r>
              <w:rPr>
                <w:sz w:val="20"/>
              </w:rPr>
              <w:t xml:space="preserve">Сведения в отношении бывшей супруги (бывшего супруга) представляются, поскольку по состоянию на отчетную дату (1 августа 2026 года) гражданин состоял в браке</w:t>
            </w:r>
          </w:p>
        </w:tc>
      </w:tr>
      <w:tr>
        <w:tc>
          <w:tcPr>
            <w:tcW w:w="2891" w:type="dxa"/>
          </w:tcPr>
          <w:p>
            <w:pPr>
              <w:pStyle w:val="0"/>
              <w:jc w:val="both"/>
            </w:pPr>
            <w:r>
              <w:rPr>
                <w:sz w:val="20"/>
              </w:rPr>
              <w:t xml:space="preserve">Окончательное решение о расторжении брака было принято судом 4 июля 2026 года и вступило в законную силу 4 августа 2026 года</w:t>
            </w:r>
          </w:p>
        </w:tc>
        <w:tc>
          <w:tcPr>
            <w:tcW w:w="6180" w:type="dxa"/>
          </w:tcPr>
          <w:p>
            <w:pPr>
              <w:pStyle w:val="0"/>
              <w:jc w:val="both"/>
            </w:pPr>
            <w:r>
              <w:rPr>
                <w:sz w:val="20"/>
              </w:rPr>
              <w:t xml:space="preserve">Сведения в отношении бывшей супруги (бывшего супруга)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2026 года. Таким образом, по состоянию на отчетную дату (1 августа 2026 года) гражданин считался состоявшим в браке</w:t>
            </w:r>
          </w:p>
        </w:tc>
      </w:tr>
    </w:tbl>
    <w:p>
      <w:pPr>
        <w:pStyle w:val="0"/>
        <w:jc w:val="both"/>
      </w:pPr>
      <w:r>
        <w:rPr>
          <w:sz w:val="20"/>
        </w:rPr>
      </w:r>
    </w:p>
    <w:p>
      <w:pPr>
        <w:pStyle w:val="0"/>
        <w:ind w:firstLine="540"/>
        <w:jc w:val="both"/>
      </w:pPr>
      <w:r>
        <w:rPr>
          <w:sz w:val="20"/>
        </w:rPr>
        <w:t xml:space="preserve">30. Лица, обязанные представлять Сведения в отношении своих супруг (супругов), не представляют такие Сведения, если:</w:t>
      </w:r>
    </w:p>
    <w:p>
      <w:pPr>
        <w:pStyle w:val="0"/>
        <w:spacing w:before="200" w:lineRule="auto"/>
        <w:ind w:firstLine="540"/>
        <w:jc w:val="both"/>
      </w:pPr>
      <w:r>
        <w:rPr>
          <w:sz w:val="20"/>
        </w:rPr>
        <w:t xml:space="preserve">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pPr>
        <w:pStyle w:val="0"/>
        <w:spacing w:before="200" w:lineRule="auto"/>
        <w:ind w:firstLine="540"/>
        <w:jc w:val="both"/>
      </w:pPr>
      <w:r>
        <w:rPr>
          <w:sz w:val="20"/>
        </w:rPr>
        <w:t xml:space="preserve">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w:t>
      </w:r>
    </w:p>
    <w:p>
      <w:pPr>
        <w:pStyle w:val="0"/>
        <w:spacing w:before="200" w:lineRule="auto"/>
        <w:ind w:firstLine="540"/>
        <w:jc w:val="both"/>
      </w:pPr>
      <w:r>
        <w:rPr>
          <w:sz w:val="20"/>
        </w:rPr>
        <w:t xml:space="preserve">3) их супруги призваны на военную службу по мобилизации в Вооруженные Силы Российской Федерации;</w:t>
      </w:r>
    </w:p>
    <w:p>
      <w:pPr>
        <w:pStyle w:val="0"/>
        <w:spacing w:before="200" w:lineRule="auto"/>
        <w:ind w:firstLine="540"/>
        <w:jc w:val="both"/>
      </w:pPr>
      <w:r>
        <w:rPr>
          <w:sz w:val="20"/>
        </w:rPr>
        <w:t xml:space="preserve">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w:t>
      </w:r>
    </w:p>
    <w:p>
      <w:pPr>
        <w:pStyle w:val="0"/>
        <w:spacing w:before="200" w:lineRule="auto"/>
        <w:ind w:firstLine="540"/>
        <w:jc w:val="both"/>
      </w:pPr>
      <w:r>
        <w:rPr>
          <w:sz w:val="20"/>
        </w:rPr>
        <w:t xml:space="preserve">В этом случае такими лицами могут быть представлены документы, подтверждающие обозначенный статус их супруг (супругов).</w:t>
      </w:r>
    </w:p>
    <w:p>
      <w:pPr>
        <w:pStyle w:val="0"/>
        <w:spacing w:before="200" w:lineRule="auto"/>
        <w:ind w:firstLine="540"/>
        <w:jc w:val="both"/>
      </w:pPr>
      <w:r>
        <w:rPr>
          <w:sz w:val="20"/>
        </w:rPr>
        <w:t xml:space="preserve">Дополнительные пояснения содержатся в Инструктивно-методических </w:t>
      </w:r>
      <w:hyperlink w:history="0" r:id="rId53" w:tooltip="&lt;Письмо&gt; Минтруда России от 21.03.2023 N 28-6/10/П-2161 &lt;О направлении Инструктивно-методических материалов&gt; (вместе с &quot;Инструктивно-методическими материалами по вопросам реализации Указа Президента Российской Федерации от 29 декабря 2022 г. N 968 &quot;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quot;) {КонсультантПлюс}">
        <w:r>
          <w:rPr>
            <w:sz w:val="20"/>
            <w:color w:val="0000ff"/>
          </w:rPr>
          <w:t xml:space="preserve">материалах</w:t>
        </w:r>
      </w:hyperlink>
      <w:r>
        <w:rPr>
          <w:sz w:val="20"/>
        </w:rPr>
        <w:t xml:space="preserve"> по вопросам реализации Указа Президента Российской Федерации от 29 декабря 2022 г. N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hyperlink w:history="0" r:id="rId54">
        <w:r>
          <w:rPr>
            <w:sz w:val="20"/>
            <w:color w:val="0000ff"/>
          </w:rPr>
          <w:t xml:space="preserve">https://mintrud.gov.ru/ministry/programms/anticorruption/9/23</w:t>
        </w:r>
      </w:hyperlink>
      <w:r>
        <w:rPr>
          <w:sz w:val="20"/>
        </w:rPr>
        <w:t xml:space="preserve">).</w:t>
      </w:r>
    </w:p>
    <w:p>
      <w:pPr>
        <w:pStyle w:val="0"/>
        <w:ind w:firstLine="540"/>
        <w:jc w:val="both"/>
      </w:pPr>
      <w:r>
        <w:rPr>
          <w:sz w:val="20"/>
        </w:rPr>
      </w:r>
    </w:p>
    <w:p>
      <w:pPr>
        <w:pStyle w:val="2"/>
        <w:outlineLvl w:val="2"/>
        <w:ind w:firstLine="540"/>
        <w:jc w:val="both"/>
      </w:pPr>
      <w:r>
        <w:rPr>
          <w:sz w:val="20"/>
        </w:rPr>
        <w:t xml:space="preserve">Несовершеннолетние дети</w:t>
      </w:r>
    </w:p>
    <w:p>
      <w:pPr>
        <w:pStyle w:val="0"/>
        <w:spacing w:before="200" w:lineRule="auto"/>
        <w:ind w:firstLine="540"/>
        <w:jc w:val="both"/>
      </w:pPr>
      <w:r>
        <w:rPr>
          <w:sz w:val="20"/>
        </w:rPr>
        <w:t xml:space="preserve">31.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Статья 60</w:t>
        </w:r>
      </w:hyperlink>
      <w:r>
        <w:rPr>
          <w:sz w:val="20"/>
        </w:rPr>
        <w:t xml:space="preserve">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pPr>
        <w:pStyle w:val="0"/>
        <w:spacing w:before="200" w:lineRule="auto"/>
        <w:ind w:firstLine="540"/>
        <w:jc w:val="both"/>
      </w:pPr>
      <w:r>
        <w:rPr>
          <w:sz w:val="20"/>
        </w:rPr>
        <w:t xml:space="preserve">32. 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w:t>
      </w:r>
    </w:p>
    <w:p>
      <w:pPr>
        <w:pStyle w:val="0"/>
        <w:spacing w:before="200" w:lineRule="auto"/>
        <w:ind w:firstLine="540"/>
        <w:jc w:val="both"/>
      </w:pPr>
      <w:r>
        <w:rPr>
          <w:sz w:val="20"/>
        </w:rPr>
        <w:t xml:space="preserve">Перечень ситуаций и рекомендуемые действия (таблица N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gridSpan w:val="2"/>
            <w:tcW w:w="9071" w:type="dxa"/>
          </w:tcPr>
          <w:p>
            <w:pPr>
              <w:pStyle w:val="0"/>
              <w:jc w:val="both"/>
            </w:pPr>
            <w:r>
              <w:rPr>
                <w:sz w:val="20"/>
              </w:rPr>
              <w:t xml:space="preserve">Пример: служащий (работник) представляет Сведения в 2026 году (за отчетный 2025 год)</w:t>
            </w:r>
          </w:p>
        </w:tc>
      </w:tr>
      <w:tr>
        <w:tc>
          <w:tcPr>
            <w:tcW w:w="2891" w:type="dxa"/>
          </w:tcPr>
          <w:p>
            <w:pPr>
              <w:pStyle w:val="0"/>
              <w:jc w:val="both"/>
            </w:pPr>
            <w:r>
              <w:rPr>
                <w:sz w:val="20"/>
              </w:rPr>
              <w:t xml:space="preserve">Дочери служащего (работника) 21 мая 2025 года исполнилось 18 лет</w:t>
            </w:r>
          </w:p>
        </w:tc>
        <w:tc>
          <w:tcPr>
            <w:tcW w:w="6180"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2025 года) дочери служащего (работника) уже исполнилось 18 лет, она являлась совершеннолетней</w:t>
            </w:r>
          </w:p>
        </w:tc>
      </w:tr>
      <w:tr>
        <w:tc>
          <w:tcPr>
            <w:tcW w:w="2891" w:type="dxa"/>
          </w:tcPr>
          <w:p>
            <w:pPr>
              <w:pStyle w:val="0"/>
              <w:jc w:val="both"/>
            </w:pPr>
            <w:r>
              <w:rPr>
                <w:sz w:val="20"/>
              </w:rPr>
              <w:t xml:space="preserve">Дочери служащего (работника) 30 декабря 2025 года исполнилось 18 лет</w:t>
            </w:r>
          </w:p>
        </w:tc>
        <w:tc>
          <w:tcPr>
            <w:tcW w:w="6180" w:type="dxa"/>
          </w:tcPr>
          <w:p>
            <w:pPr>
              <w:pStyle w:val="0"/>
              <w:jc w:val="both"/>
            </w:pPr>
            <w:r>
              <w:rPr>
                <w:sz w:val="20"/>
              </w:rPr>
              <w:t xml:space="preserve">Сведения в отношении дочери не представляются, поскольку по состоянию на отчетную дату (31 декабря 2025 года) дочери служащего (работника) уже исполнилось 18 лет, она являлась совершеннолетней</w:t>
            </w:r>
          </w:p>
        </w:tc>
      </w:tr>
      <w:tr>
        <w:tc>
          <w:tcPr>
            <w:tcW w:w="2891" w:type="dxa"/>
          </w:tcPr>
          <w:p>
            <w:pPr>
              <w:pStyle w:val="0"/>
              <w:jc w:val="both"/>
            </w:pPr>
            <w:r>
              <w:rPr>
                <w:sz w:val="20"/>
              </w:rPr>
              <w:t xml:space="preserve">Дочери служащего (работника) 31 декабря 2025 года исполнилось 18 лет</w:t>
            </w:r>
          </w:p>
        </w:tc>
        <w:tc>
          <w:tcPr>
            <w:tcW w:w="6180" w:type="dxa"/>
          </w:tcPr>
          <w:p>
            <w:pPr>
              <w:pStyle w:val="0"/>
              <w:jc w:val="both"/>
            </w:pPr>
            <w:r>
              <w:rPr>
                <w:sz w:val="20"/>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2026 года. Таким образом, по состоянию на отчетную дату (31 декабря 2025 года) она еще являлась несовершеннолетней</w:t>
            </w:r>
          </w:p>
        </w:tc>
      </w:tr>
      <w:tr>
        <w:tc>
          <w:tcPr>
            <w:gridSpan w:val="2"/>
            <w:tcW w:w="9071" w:type="dxa"/>
          </w:tcPr>
          <w:p>
            <w:pPr>
              <w:pStyle w:val="0"/>
              <w:jc w:val="both"/>
            </w:pPr>
            <w:r>
              <w:rPr>
                <w:sz w:val="20"/>
              </w:rPr>
              <w:t xml:space="preserve">Пример: гражданин представляет в сентябре 2026 года Сведения в связи с назначением на должность. Отчетной датой является 1 августа 2026 года</w:t>
            </w:r>
          </w:p>
        </w:tc>
      </w:tr>
      <w:tr>
        <w:tc>
          <w:tcPr>
            <w:tcW w:w="2891" w:type="dxa"/>
          </w:tcPr>
          <w:p>
            <w:pPr>
              <w:pStyle w:val="0"/>
              <w:jc w:val="both"/>
            </w:pPr>
            <w:r>
              <w:rPr>
                <w:sz w:val="20"/>
              </w:rPr>
              <w:t xml:space="preserve">Сыну гражданина 5 мая 2026 года исполнилось 18 лет</w:t>
            </w:r>
          </w:p>
        </w:tc>
        <w:tc>
          <w:tcPr>
            <w:tcW w:w="6180" w:type="dxa"/>
          </w:tcPr>
          <w:p>
            <w:pPr>
              <w:pStyle w:val="0"/>
              <w:jc w:val="both"/>
            </w:pPr>
            <w:r>
              <w:rPr>
                <w:sz w:val="20"/>
              </w:rPr>
              <w:t xml:space="preserve">Сведения в отношении сына не представляются, поскольку он являлся совершеннолетним и по состоянию на отчетную дату (1 августа 2026 года) сыну гражданина уже исполнилось 18 лет</w:t>
            </w:r>
          </w:p>
        </w:tc>
      </w:tr>
      <w:tr>
        <w:tc>
          <w:tcPr>
            <w:tcW w:w="2891" w:type="dxa"/>
          </w:tcPr>
          <w:p>
            <w:pPr>
              <w:pStyle w:val="0"/>
              <w:jc w:val="both"/>
            </w:pPr>
            <w:r>
              <w:rPr>
                <w:sz w:val="20"/>
              </w:rPr>
              <w:t xml:space="preserve">Сыну гражданина 1 августа 2026 года исполнилось 18 лет</w:t>
            </w:r>
          </w:p>
        </w:tc>
        <w:tc>
          <w:tcPr>
            <w:tcW w:w="6180" w:type="dxa"/>
          </w:tcPr>
          <w:p>
            <w:pPr>
              <w:pStyle w:val="0"/>
              <w:jc w:val="both"/>
            </w:pPr>
            <w:r>
              <w:rPr>
                <w:sz w:val="20"/>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2026 года. Таким образом, по состоянию на отчетную дату (1 августа 2026 года) он еще являлся несовершеннолетним</w:t>
            </w:r>
          </w:p>
        </w:tc>
      </w:tr>
      <w:tr>
        <w:tc>
          <w:tcPr>
            <w:tcW w:w="2891" w:type="dxa"/>
          </w:tcPr>
          <w:p>
            <w:pPr>
              <w:pStyle w:val="0"/>
              <w:jc w:val="both"/>
            </w:pPr>
            <w:r>
              <w:rPr>
                <w:sz w:val="20"/>
              </w:rPr>
              <w:t xml:space="preserve">Сыну гражданина 17 августа 2026 года исполнилось 18 лет</w:t>
            </w:r>
          </w:p>
        </w:tc>
        <w:tc>
          <w:tcPr>
            <w:tcW w:w="6180" w:type="dxa"/>
          </w:tcPr>
          <w:p>
            <w:pPr>
              <w:pStyle w:val="0"/>
              <w:jc w:val="both"/>
            </w:pPr>
            <w:r>
              <w:rPr>
                <w:sz w:val="20"/>
              </w:rPr>
              <w:t xml:space="preserve">Сведения в отношении сына представляются, поскольку по состоянию на отчетную дату (1 августа 2026 года) сын гражданина являлся несовершеннолетним</w:t>
            </w:r>
          </w:p>
        </w:tc>
      </w:tr>
    </w:tbl>
    <w:p>
      <w:pPr>
        <w:pStyle w:val="0"/>
        <w:jc w:val="both"/>
      </w:pPr>
      <w:r>
        <w:rPr>
          <w:sz w:val="20"/>
        </w:rPr>
      </w:r>
    </w:p>
    <w:p>
      <w:pPr>
        <w:pStyle w:val="0"/>
        <w:ind w:firstLine="540"/>
        <w:jc w:val="both"/>
      </w:pPr>
      <w:r>
        <w:rPr>
          <w:sz w:val="20"/>
        </w:rPr>
        <w:t xml:space="preserve">33. 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pPr>
        <w:pStyle w:val="0"/>
        <w:spacing w:before="200" w:lineRule="auto"/>
        <w:ind w:firstLine="540"/>
        <w:jc w:val="both"/>
      </w:pPr>
      <w:r>
        <w:rPr>
          <w:sz w:val="20"/>
        </w:rPr>
        <w:t xml:space="preserve">34. 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pPr>
        <w:pStyle w:val="0"/>
        <w:ind w:firstLine="540"/>
        <w:jc w:val="both"/>
      </w:pPr>
      <w:r>
        <w:rPr>
          <w:sz w:val="20"/>
        </w:rPr>
      </w:r>
    </w:p>
    <w:p>
      <w:pPr>
        <w:pStyle w:val="2"/>
        <w:outlineLvl w:val="1"/>
        <w:ind w:firstLine="540"/>
        <w:jc w:val="both"/>
      </w:pPr>
      <w:r>
        <w:rPr>
          <w:sz w:val="20"/>
        </w:rPr>
        <w:t xml:space="preserve">Уточнение представленных Сведений</w:t>
      </w:r>
    </w:p>
    <w:p>
      <w:pPr>
        <w:pStyle w:val="0"/>
        <w:spacing w:before="200" w:lineRule="auto"/>
        <w:ind w:firstLine="540"/>
        <w:jc w:val="both"/>
      </w:pPr>
      <w:r>
        <w:rPr>
          <w:sz w:val="20"/>
        </w:rPr>
        <w:t xml:space="preserve">35. Гражданин может представить уточненные сведения о доходах, об имуществе и обязательствах имущественного характера в течение одного месяца со дня представления данных сведений в соответствии с законодательством Российской Федерации.</w:t>
      </w:r>
    </w:p>
    <w:p>
      <w:pPr>
        <w:pStyle w:val="0"/>
        <w:spacing w:before="200" w:lineRule="auto"/>
        <w:ind w:firstLine="540"/>
        <w:jc w:val="both"/>
      </w:pPr>
      <w:r>
        <w:rPr>
          <w:sz w:val="20"/>
        </w:rPr>
        <w:t xml:space="preserve">36. Служащий, претендующий на замещение должности, предусмотренной перечнем, и государственный служащий, назначаемый на должность в порядке перевода из другого государственного органа, могут представить уточненные сведения о доходах, об имуществе и обязательствах имущественного характера в течение одного месяца со дня представления данных сведений в соответствии с законодательством Российской Федерации.</w:t>
      </w:r>
    </w:p>
    <w:p>
      <w:pPr>
        <w:pStyle w:val="0"/>
        <w:spacing w:before="200" w:lineRule="auto"/>
        <w:ind w:firstLine="540"/>
        <w:jc w:val="both"/>
      </w:pPr>
      <w:r>
        <w:rPr>
          <w:sz w:val="20"/>
        </w:rPr>
        <w:t xml:space="preserve">37. Служащий (работник) в рамках декларационной кампании может представить уточненные Сведения в течение одного месяца после окончания срока представления Сведений (30 апреля года, следующего за отчетным), а именно включительно в срок до 31 мая года, следующего за отчетным.</w:t>
      </w:r>
    </w:p>
    <w:p>
      <w:pPr>
        <w:pStyle w:val="0"/>
        <w:spacing w:before="200" w:lineRule="auto"/>
        <w:ind w:firstLine="540"/>
        <w:jc w:val="both"/>
      </w:pPr>
      <w:r>
        <w:rPr>
          <w:sz w:val="20"/>
        </w:rPr>
        <w:t xml:space="preserve">38. Представление уточненных Сведений предусматривает повторное представление только </w:t>
      </w:r>
      <w:hyperlink w:history="0" r:id="rId5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которой не отражены или не полностью отражены какие-либо Сведения либо имеются ошибки.</w:t>
      </w:r>
    </w:p>
    <w:p>
      <w:pPr>
        <w:pStyle w:val="0"/>
        <w:spacing w:before="200" w:lineRule="auto"/>
        <w:ind w:firstLine="540"/>
        <w:jc w:val="both"/>
      </w:pPr>
      <w:r>
        <w:rPr>
          <w:sz w:val="20"/>
        </w:rPr>
        <w:t xml:space="preserve">39. Представление уточненных Сведений за предыдущие декларационные кампании не предусмотрено.</w:t>
      </w:r>
    </w:p>
    <w:p>
      <w:pPr>
        <w:pStyle w:val="0"/>
        <w:spacing w:before="200" w:lineRule="auto"/>
        <w:ind w:firstLine="540"/>
        <w:jc w:val="both"/>
      </w:pPr>
      <w:r>
        <w:rPr>
          <w:sz w:val="20"/>
        </w:rPr>
        <w:t xml:space="preserve">40. 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pPr>
        <w:pStyle w:val="0"/>
        <w:ind w:firstLine="540"/>
        <w:jc w:val="both"/>
      </w:pPr>
      <w:r>
        <w:rPr>
          <w:sz w:val="20"/>
        </w:rPr>
      </w:r>
    </w:p>
    <w:p>
      <w:pPr>
        <w:pStyle w:val="2"/>
        <w:outlineLvl w:val="1"/>
        <w:ind w:firstLine="540"/>
        <w:jc w:val="both"/>
      </w:pPr>
      <w:r>
        <w:rPr>
          <w:sz w:val="20"/>
        </w:rPr>
        <w:t xml:space="preserve">Рекомендуемые действия при невозможности по объективным причинам представить Сведения в отношении члена семьи</w:t>
      </w:r>
    </w:p>
    <w:bookmarkStart w:id="186" w:name="P186"/>
    <w:bookmarkEnd w:id="186"/>
    <w:p>
      <w:pPr>
        <w:pStyle w:val="0"/>
        <w:spacing w:before="200" w:lineRule="auto"/>
        <w:ind w:firstLine="540"/>
        <w:jc w:val="both"/>
      </w:pPr>
      <w:r>
        <w:rPr>
          <w:sz w:val="20"/>
        </w:rPr>
        <w:t xml:space="preserve">41.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w:t>
      </w:r>
      <w:hyperlink w:history="0" r:id="rId57"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0"/>
            <w:color w:val="0000ff"/>
          </w:rPr>
          <w:t xml:space="preserve">абзацем третьим подпункта "б" пункта 2</w:t>
        </w:r>
      </w:hyperlink>
      <w:r>
        <w:rPr>
          <w:sz w:val="20"/>
        </w:rP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w:t>
      </w:r>
      <w:hyperlink w:history="0" r:id="rId58" w:tooltip="Указ Президента РФ от 01.07.2010 N 821 (ред. от 09.07.2025) &quot;О комиссиях по соблюдению требований к служебному поведению федеральных государственных служащих и урегулированию конфликта интересов&quot; (вместе с &quot;Положением о комиссиях по соблюдению требований к служебному поведению федеральных государственных служащих и урегулированию конфликта интересов&quot;) {КонсультантПлюс}">
        <w:r>
          <w:rPr>
            <w:sz w:val="20"/>
            <w:color w:val="0000ff"/>
          </w:rPr>
          <w:t xml:space="preserve">абзацем третьим подпункта "б" пункта 16</w:t>
        </w:r>
      </w:hyperlink>
      <w:r>
        <w:rPr>
          <w:sz w:val="20"/>
        </w:rP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w:t>
      </w:r>
      <w:hyperlink w:history="0" r:id="rId59" w:tooltip="Указ Президента РФ от 09.10.2017 N 472 (ред. от 31.12.2025) &quot;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КонсультантПлюс}">
        <w:r>
          <w:rPr>
            <w:sz w:val="20"/>
            <w:color w:val="0000ff"/>
          </w:rPr>
          <w:t xml:space="preserve">пунктом 11</w:t>
        </w:r>
      </w:hyperlink>
      <w:r>
        <w:rPr>
          <w:sz w:val="20"/>
        </w:rPr>
        <w:t xml:space="preserve"> Положения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N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N 460", </w:t>
      </w:r>
      <w:hyperlink w:history="0" r:id="rId60" w:tooltip="Указ Президента РФ от 13.05.2019 N 217 (ред. от 31.12.2025) &quot;О мерах по реализации отдельных положений Федерального закона &quot;Об уполномоченном по правам потребителей финансовых услуг&quot; (вместе с &quot;Положением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 {КонсультантПлюс}">
        <w:r>
          <w:rPr>
            <w:sz w:val="20"/>
            <w:color w:val="0000ff"/>
          </w:rPr>
          <w:t xml:space="preserve">пунктом 10</w:t>
        </w:r>
      </w:hyperlink>
      <w:r>
        <w:rPr>
          <w:sz w:val="20"/>
        </w:rPr>
        <w:t xml:space="preserve"> Положения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13 мая 2019 г. N 217 "О мерах по реализации отдельных положений Федерального закона "Об уполномоченном по правам потребителей финансовых услуг".</w:t>
      </w:r>
    </w:p>
    <w:p>
      <w:pPr>
        <w:pStyle w:val="0"/>
        <w:spacing w:before="200" w:lineRule="auto"/>
        <w:ind w:firstLine="540"/>
        <w:jc w:val="both"/>
      </w:pPr>
      <w:r>
        <w:rPr>
          <w:sz w:val="20"/>
        </w:rPr>
        <w:t xml:space="preserve">Заявление может быть подано служащим (работником) также в случае назначения на должность в ситуации, указанной в </w:t>
      </w:r>
      <w:hyperlink w:history="0" w:anchor="P50" w:tooltip="4. Сведения о доходах, об имуществе и обязательствах имущественного характера представляются государственным служащим, претендующим на замещение любой должности государственной службы в данном государственном органе, включенной в перечень должностей, установленный нормативными правовыми актами Российской Федерации (см., например, Указ Президента Российской Федерации от 18 мая 2009 г. N 557 &quot;Об утверждении перечня должностей федеральной государственной службы, при замещении которых федеральные государстве...">
        <w:r>
          <w:rPr>
            <w:sz w:val="20"/>
            <w:color w:val="0000ff"/>
          </w:rPr>
          <w:t xml:space="preserve">пункте 4</w:t>
        </w:r>
      </w:hyperlink>
      <w:r>
        <w:rPr>
          <w:sz w:val="20"/>
        </w:rPr>
        <w:t xml:space="preserve"> настоящих Методических рекомендаций.</w:t>
      </w:r>
    </w:p>
    <w:p>
      <w:pPr>
        <w:pStyle w:val="0"/>
        <w:spacing w:before="200" w:lineRule="auto"/>
        <w:ind w:firstLine="540"/>
        <w:jc w:val="both"/>
      </w:pPr>
      <w:r>
        <w:rPr>
          <w:sz w:val="20"/>
        </w:rPr>
        <w:t xml:space="preserve">Дополнительная информация содержится в </w:t>
      </w:r>
      <w:hyperlink w:history="0" r:id="rId61" w:tooltip="&quot;Обзор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quot; (вместе с &quot;Обзором причин невозможности представить Сведения своих супруги (супруга) и несовершеннолетних детей, которые признавались комиссией объективными и уважительными&quot;, &quot;Обзором причин невозможности представить Сведения своих супруги (супруга) и (или) несоверш {КонсультантПлюс}">
        <w:r>
          <w:rPr>
            <w:sz w:val="20"/>
            <w:color w:val="0000ff"/>
          </w:rPr>
          <w:t xml:space="preserve">Обзоре</w:t>
        </w:r>
      </w:hyperlink>
      <w:r>
        <w:rPr>
          <w:sz w:val="20"/>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w:t>
      </w:r>
      <w:hyperlink w:history="0" r:id="rId62">
        <w:r>
          <w:rPr>
            <w:sz w:val="20"/>
            <w:color w:val="0000ff"/>
          </w:rPr>
          <w:t xml:space="preserve">https://mintrud.gov.ru/ministry/programms/anticorruption/9/24</w:t>
        </w:r>
      </w:hyperlink>
      <w:r>
        <w:rPr>
          <w:sz w:val="20"/>
        </w:rPr>
        <w:t xml:space="preserve">).</w:t>
      </w:r>
    </w:p>
    <w:p>
      <w:pPr>
        <w:pStyle w:val="0"/>
        <w:spacing w:before="200" w:lineRule="auto"/>
        <w:ind w:firstLine="540"/>
        <w:jc w:val="both"/>
      </w:pPr>
      <w:r>
        <w:rPr>
          <w:sz w:val="20"/>
        </w:rPr>
        <w:t xml:space="preserve">42. Заявление подается в порядке, установленном нормативным правовым актом органа публичной власти или актом организации.</w:t>
      </w:r>
    </w:p>
    <w:p>
      <w:pPr>
        <w:pStyle w:val="0"/>
        <w:spacing w:before="200" w:lineRule="auto"/>
        <w:ind w:firstLine="540"/>
        <w:jc w:val="both"/>
      </w:pPr>
      <w:r>
        <w:rPr>
          <w:sz w:val="20"/>
        </w:rPr>
        <w:t xml:space="preserve">Заявление при наличии длящихся обстоятельств подается каждый раз, когда возникают основания для представления Сведений.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pPr>
        <w:pStyle w:val="0"/>
        <w:spacing w:before="200" w:lineRule="auto"/>
        <w:ind w:firstLine="540"/>
        <w:jc w:val="both"/>
      </w:pPr>
      <w:r>
        <w:rPr>
          <w:sz w:val="20"/>
        </w:rPr>
        <w:t xml:space="preserve">43. Заявление направляется до истечения срока, установленного для представления служащим (работником) Сведений.</w:t>
      </w:r>
    </w:p>
    <w:p>
      <w:pPr>
        <w:pStyle w:val="0"/>
        <w:spacing w:before="200" w:lineRule="auto"/>
        <w:ind w:firstLine="540"/>
        <w:jc w:val="both"/>
      </w:pPr>
      <w:r>
        <w:rPr>
          <w:sz w:val="20"/>
        </w:rPr>
        <w:t xml:space="preserve">Заявление подается (таблица N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both"/>
            </w:pPr>
            <w:r>
              <w:rPr>
                <w:sz w:val="20"/>
              </w:rPr>
              <w:t xml:space="preserve">В Управление Президента Российской Федерации по вопросам государственной службы, кадров и противодействия коррупции</w:t>
            </w:r>
          </w:p>
        </w:tc>
        <w:tc>
          <w:tcPr>
            <w:tcW w:w="6180" w:type="dxa"/>
          </w:tcPr>
          <w:p>
            <w:pPr>
              <w:pStyle w:val="0"/>
              <w:jc w:val="both"/>
            </w:pPr>
            <w:r>
              <w:rPr>
                <w:sz w:val="20"/>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Российской Федерации, а также главного финансового уполномоченного в случае и порядке, которые установлены нормативными правовыми актами Российской Федерации</w:t>
            </w:r>
          </w:p>
        </w:tc>
      </w:tr>
      <w:tr>
        <w:tc>
          <w:tcPr>
            <w:tcW w:w="2891" w:type="dxa"/>
          </w:tcPr>
          <w:p>
            <w:pPr>
              <w:pStyle w:val="0"/>
              <w:jc w:val="both"/>
            </w:pPr>
            <w:r>
              <w:rPr>
                <w:sz w:val="20"/>
              </w:rPr>
              <w:t xml:space="preserve">В Департамент кадров Правительства Российской Федерации</w:t>
            </w:r>
          </w:p>
        </w:tc>
        <w:tc>
          <w:tcPr>
            <w:tcW w:w="6180" w:type="dxa"/>
          </w:tcPr>
          <w:p>
            <w:pPr>
              <w:pStyle w:val="0"/>
              <w:jc w:val="both"/>
            </w:pPr>
            <w:r>
              <w:rPr>
                <w:sz w:val="20"/>
              </w:rPr>
              <w:t xml:space="preserve">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tc>
          <w:tcPr>
            <w:tcW w:w="2891" w:type="dxa"/>
          </w:tcPr>
          <w:p>
            <w:pPr>
              <w:pStyle w:val="0"/>
              <w:jc w:val="both"/>
            </w:pPr>
            <w:r>
              <w:rPr>
                <w:sz w:val="20"/>
              </w:rPr>
              <w:t xml:space="preserve">В подразделение кадровой службы федерального государственного органа по профилактике коррупционных и иных правонарушений</w:t>
            </w:r>
          </w:p>
          <w:p>
            <w:pPr>
              <w:pStyle w:val="0"/>
              <w:jc w:val="both"/>
            </w:pPr>
            <w:r>
              <w:rPr>
                <w:sz w:val="20"/>
              </w:rPr>
              <w:t xml:space="preserve">(если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6180" w:type="dxa"/>
          </w:tcPr>
          <w:p>
            <w:pPr>
              <w:pStyle w:val="0"/>
              <w:jc w:val="both"/>
            </w:pPr>
            <w:r>
              <w:rPr>
                <w:sz w:val="20"/>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tc>
          <w:tcPr>
            <w:tcW w:w="2891" w:type="dxa"/>
          </w:tcPr>
          <w:p>
            <w:pPr>
              <w:pStyle w:val="0"/>
              <w:jc w:val="both"/>
            </w:pPr>
            <w:r>
              <w:rPr>
                <w:sz w:val="20"/>
              </w:rPr>
              <w:t xml:space="preserve">В подразделение по профилактике коррупционных и иных правонарушений государственного внебюджетного фонда Российской Федерации, государственной корпорации (компании), публично-правовой компании, иной организации, созданной на основании федерального закона</w:t>
            </w:r>
          </w:p>
        </w:tc>
        <w:tc>
          <w:tcPr>
            <w:tcW w:w="6180" w:type="dxa"/>
          </w:tcPr>
          <w:p>
            <w:pPr>
              <w:pStyle w:val="0"/>
              <w:jc w:val="both"/>
            </w:pPr>
            <w:r>
              <w:rPr>
                <w:sz w:val="20"/>
              </w:rPr>
              <w:t xml:space="preserve">лицами, замещающими должности, включенные в перечни, установленные нормативными актами государственных внебюджетных фондов Российской Федерации,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tc>
          <w:tcPr>
            <w:tcW w:w="2891" w:type="dxa"/>
          </w:tcPr>
          <w:p>
            <w:pPr>
              <w:pStyle w:val="0"/>
              <w:jc w:val="both"/>
            </w:pPr>
            <w:r>
              <w:rPr>
                <w:sz w:val="20"/>
              </w:rPr>
              <w:t xml:space="preserve">В подразделение по профилактике коррупционных и иных правонарушений Центрального банка Российской Федерации</w:t>
            </w:r>
          </w:p>
        </w:tc>
        <w:tc>
          <w:tcPr>
            <w:tcW w:w="6180" w:type="dxa"/>
          </w:tcPr>
          <w:p>
            <w:pPr>
              <w:pStyle w:val="0"/>
              <w:jc w:val="both"/>
            </w:pPr>
            <w:r>
              <w:rPr>
                <w:sz w:val="20"/>
              </w:rPr>
              <w:t xml:space="preserve">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w:t>
            </w:r>
          </w:p>
        </w:tc>
      </w:tr>
      <w:tr>
        <w:tc>
          <w:tcPr>
            <w:tcW w:w="2891" w:type="dxa"/>
          </w:tcPr>
          <w:p>
            <w:pPr>
              <w:pStyle w:val="0"/>
              <w:jc w:val="both"/>
            </w:pPr>
            <w:r>
              <w:rPr>
                <w:sz w:val="20"/>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6180" w:type="dxa"/>
          </w:tcPr>
          <w:p>
            <w:pPr>
              <w:pStyle w:val="0"/>
              <w:jc w:val="both"/>
            </w:pPr>
            <w:r>
              <w:rPr>
                <w:sz w:val="20"/>
              </w:rPr>
              <w:t xml:space="preserve">атаманом Всероссийского казачьего общества, гражданином, претендующим на замещение должности атамана Всероссийского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pPr>
        <w:pStyle w:val="0"/>
        <w:jc w:val="both"/>
      </w:pPr>
      <w:r>
        <w:rPr>
          <w:sz w:val="20"/>
        </w:rPr>
      </w:r>
    </w:p>
    <w:p>
      <w:pPr>
        <w:pStyle w:val="0"/>
        <w:ind w:firstLine="540"/>
        <w:jc w:val="both"/>
      </w:pPr>
      <w:r>
        <w:rPr>
          <w:sz w:val="20"/>
        </w:rPr>
        <w:t xml:space="preserve">44.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этом см. </w:t>
      </w:r>
      <w:hyperlink w:history="0" w:anchor="P213" w:tooltip="47.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
        <w:r>
          <w:rPr>
            <w:sz w:val="20"/>
            <w:color w:val="0000ff"/>
          </w:rPr>
          <w:t xml:space="preserve">пункты 47</w:t>
        </w:r>
      </w:hyperlink>
      <w:r>
        <w:rPr>
          <w:sz w:val="20"/>
        </w:rPr>
        <w:t xml:space="preserve"> и </w:t>
      </w:r>
      <w:hyperlink w:history="0" w:anchor="P216" w:tooltip="48.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
        <w:r>
          <w:rPr>
            <w:sz w:val="20"/>
            <w:color w:val="0000ff"/>
          </w:rPr>
          <w:t xml:space="preserve">48</w:t>
        </w:r>
      </w:hyperlink>
      <w:r>
        <w:rPr>
          <w:sz w:val="20"/>
        </w:rPr>
        <w:t xml:space="preserve"> настоящих Методических рекомендаций).</w:t>
      </w:r>
    </w:p>
    <w:p>
      <w:pPr>
        <w:pStyle w:val="0"/>
        <w:spacing w:before="200" w:lineRule="auto"/>
        <w:ind w:firstLine="540"/>
        <w:jc w:val="both"/>
      </w:pPr>
      <w:r>
        <w:rPr>
          <w:sz w:val="20"/>
        </w:rPr>
        <w:t xml:space="preserve">45. 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p>
    <w:p>
      <w:pPr>
        <w:pStyle w:val="0"/>
        <w:spacing w:before="200" w:lineRule="auto"/>
        <w:ind w:firstLine="540"/>
        <w:jc w:val="both"/>
      </w:pPr>
      <w:r>
        <w:rPr>
          <w:sz w:val="20"/>
        </w:rPr>
        <w:t xml:space="preserve">46. 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pPr>
        <w:pStyle w:val="0"/>
        <w:ind w:firstLine="540"/>
        <w:jc w:val="both"/>
      </w:pPr>
      <w:r>
        <w:rPr>
          <w:sz w:val="20"/>
        </w:rPr>
      </w:r>
    </w:p>
    <w:p>
      <w:pPr>
        <w:pStyle w:val="2"/>
        <w:outlineLvl w:val="1"/>
        <w:ind w:firstLine="540"/>
        <w:jc w:val="both"/>
      </w:pPr>
      <w:r>
        <w:rPr>
          <w:sz w:val="20"/>
        </w:rPr>
        <w:t xml:space="preserve">Рекомендуемые действия при невозможности представить Сведения вследствие не зависящих от служащего (работника) обстоятельств</w:t>
      </w:r>
    </w:p>
    <w:bookmarkStart w:id="213" w:name="P213"/>
    <w:bookmarkEnd w:id="213"/>
    <w:p>
      <w:pPr>
        <w:pStyle w:val="0"/>
        <w:spacing w:before="200" w:lineRule="auto"/>
        <w:ind w:firstLine="540"/>
        <w:jc w:val="both"/>
      </w:pPr>
      <w:r>
        <w:rPr>
          <w:sz w:val="20"/>
        </w:rPr>
        <w:t xml:space="preserve">47. 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spacing w:before="200" w:lineRule="auto"/>
        <w:ind w:firstLine="540"/>
        <w:jc w:val="both"/>
      </w:pPr>
      <w:r>
        <w:rPr>
          <w:sz w:val="20"/>
        </w:rPr>
        <w:t xml:space="preserve">Конкретные не зависящие от служащего (работника) обстоятельства приведены в </w:t>
      </w:r>
      <w:hyperlink w:history="0" r:id="rId63" w:tooltip="Федеральный закон от 25.12.2008 N 273-ФЗ (ред. от 28.12.2025) &quot;О противодействии коррупции&quot; {КонсультантПлюс}">
        <w:r>
          <w:rPr>
            <w:sz w:val="20"/>
            <w:color w:val="0000ff"/>
          </w:rPr>
          <w:t xml:space="preserve">части 4 статьи 13</w:t>
        </w:r>
      </w:hyperlink>
      <w:r>
        <w:rPr>
          <w:sz w:val="20"/>
        </w:rPr>
        <w:t xml:space="preserve"> Федерального закона от 25 декабря 2008 г. N 273-ФЗ "О противодействии коррупции".</w:t>
      </w:r>
    </w:p>
    <w:p>
      <w:pPr>
        <w:pStyle w:val="0"/>
        <w:spacing w:before="200" w:lineRule="auto"/>
        <w:ind w:firstLine="540"/>
        <w:jc w:val="both"/>
      </w:pPr>
      <w:r>
        <w:rPr>
          <w:sz w:val="20"/>
        </w:rPr>
        <w:t xml:space="preserve">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bookmarkStart w:id="216" w:name="P216"/>
    <w:bookmarkEnd w:id="216"/>
    <w:p>
      <w:pPr>
        <w:pStyle w:val="0"/>
        <w:spacing w:before="200" w:lineRule="auto"/>
        <w:ind w:firstLine="540"/>
        <w:jc w:val="both"/>
      </w:pPr>
      <w:r>
        <w:rPr>
          <w:sz w:val="20"/>
        </w:rPr>
        <w:t xml:space="preserve">48. 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pPr>
        <w:pStyle w:val="0"/>
        <w:jc w:val="both"/>
      </w:pPr>
      <w:r>
        <w:rPr>
          <w:sz w:val="20"/>
        </w:rPr>
      </w:r>
    </w:p>
    <w:p>
      <w:pPr>
        <w:pStyle w:val="2"/>
        <w:outlineLvl w:val="0"/>
        <w:jc w:val="center"/>
      </w:pPr>
      <w:r>
        <w:rPr>
          <w:sz w:val="20"/>
        </w:rPr>
        <w:t xml:space="preserve">II. Заполнение справки о доходах, расходах, об имуществе</w:t>
      </w:r>
    </w:p>
    <w:p>
      <w:pPr>
        <w:pStyle w:val="2"/>
        <w:jc w:val="center"/>
      </w:pPr>
      <w:r>
        <w:rPr>
          <w:sz w:val="20"/>
        </w:rPr>
        <w:t xml:space="preserve">и обязательствах имущественного характера</w:t>
      </w:r>
    </w:p>
    <w:p>
      <w:pPr>
        <w:pStyle w:val="0"/>
        <w:jc w:val="both"/>
      </w:pPr>
      <w:r>
        <w:rPr>
          <w:sz w:val="20"/>
        </w:rPr>
      </w:r>
    </w:p>
    <w:p>
      <w:pPr>
        <w:pStyle w:val="0"/>
        <w:ind w:firstLine="540"/>
        <w:jc w:val="both"/>
      </w:pPr>
      <w:r>
        <w:rPr>
          <w:sz w:val="20"/>
        </w:rPr>
        <w:t xml:space="preserve">49. </w:t>
      </w:r>
      <w:hyperlink w:history="0" r:id="rId6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Форма</w:t>
        </w:r>
      </w:hyperlink>
      <w:r>
        <w:rPr>
          <w:sz w:val="20"/>
        </w:rPr>
        <w:t xml:space="preserve"> справки является унифицированной для всех лиц, на которых распространяется обязанность представлять Сведения.</w:t>
      </w:r>
    </w:p>
    <w:p>
      <w:pPr>
        <w:pStyle w:val="0"/>
        <w:spacing w:before="200" w:lineRule="auto"/>
        <w:ind w:firstLine="540"/>
        <w:jc w:val="both"/>
      </w:pPr>
      <w:r>
        <w:rPr>
          <w:sz w:val="20"/>
        </w:rPr>
        <w:t xml:space="preserve">50. </w:t>
      </w:r>
      <w:hyperlink w:history="0" r:id="rId6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pPr>
        <w:pStyle w:val="0"/>
        <w:spacing w:before="200" w:lineRule="auto"/>
        <w:ind w:firstLine="540"/>
        <w:jc w:val="both"/>
      </w:pPr>
      <w:r>
        <w:rPr>
          <w:sz w:val="20"/>
        </w:rPr>
        <w:t xml:space="preserve">Например, заполнение </w:t>
      </w:r>
      <w:hyperlink w:history="0" r:id="rId6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полученной информации из единой </w:t>
      </w:r>
      <w:hyperlink w:history="0" r:id="rId67"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формы</w:t>
        </w:r>
      </w:hyperlink>
      <w:r>
        <w:rPr>
          <w:sz w:val="20"/>
        </w:rPr>
        <w:t xml:space="preserve">, установленной Указанием Банка России от 27 мая 2021 г. N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N 5798-У), является достаточным (за исключением случая, когда необходимая для заполнения </w:t>
      </w:r>
      <w:hyperlink w:history="0" r:id="rId6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pPr>
        <w:pStyle w:val="0"/>
        <w:spacing w:before="200" w:lineRule="auto"/>
        <w:ind w:firstLine="540"/>
        <w:jc w:val="both"/>
      </w:pPr>
      <w:r>
        <w:rPr>
          <w:sz w:val="20"/>
        </w:rPr>
        <w:t xml:space="preserve">К </w:t>
      </w:r>
      <w:hyperlink w:history="0" r:id="rId6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могут быть приложены любые документы, в том числе пояснения служащего (работника). При этом </w:t>
      </w:r>
      <w:hyperlink w:history="0" r:id="rId7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разделом 2</w:t>
        </w:r>
      </w:hyperlink>
      <w:r>
        <w:rPr>
          <w:sz w:val="20"/>
        </w:rPr>
        <w:t xml:space="preserve"> справки предусмотрен случай, при котором к </w:t>
      </w:r>
      <w:hyperlink w:history="0" r:id="rId7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обязательном порядке прилагаются соответствующие документы. В иных случаях приложение является правом служащего (работника).</w:t>
      </w:r>
    </w:p>
    <w:p>
      <w:pPr>
        <w:pStyle w:val="0"/>
        <w:spacing w:before="200" w:lineRule="auto"/>
        <w:ind w:firstLine="540"/>
        <w:jc w:val="both"/>
      </w:pPr>
      <w:r>
        <w:rPr>
          <w:sz w:val="20"/>
        </w:rPr>
        <w:t xml:space="preserve">51. 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w:t>
      </w:r>
      <w:hyperlink w:history="0" r:id="rId7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являются следующие (таблица N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803"/>
      </w:tblGrid>
      <w:tr>
        <w:tc>
          <w:tcPr>
            <w:tcW w:w="2268" w:type="dxa"/>
          </w:tcPr>
          <w:bookmarkStart w:id="227" w:name="P227"/>
          <w:bookmarkEnd w:id="227"/>
          <w:p>
            <w:pPr>
              <w:pStyle w:val="0"/>
              <w:jc w:val="center"/>
            </w:pPr>
            <w:r>
              <w:rPr>
                <w:sz w:val="20"/>
              </w:rPr>
              <w:t xml:space="preserve">Раздел (подраздел) </w:t>
            </w:r>
            <w:hyperlink w:history="0" r:id="rId7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p>
        </w:tc>
        <w:tc>
          <w:tcPr>
            <w:tcW w:w="6803" w:type="dxa"/>
          </w:tcPr>
          <w:p>
            <w:pPr>
              <w:pStyle w:val="0"/>
              <w:jc w:val="center"/>
            </w:pPr>
            <w:r>
              <w:rPr>
                <w:sz w:val="20"/>
              </w:rPr>
              <w:t xml:space="preserve">Источник информации</w:t>
            </w:r>
          </w:p>
        </w:tc>
      </w:tr>
      <w:tr>
        <w:tc>
          <w:tcPr>
            <w:tcW w:w="2268" w:type="dxa"/>
            <w:vMerge w:val="restart"/>
          </w:tcPr>
          <w:p>
            <w:pPr>
              <w:pStyle w:val="0"/>
              <w:jc w:val="both"/>
            </w:pPr>
            <w:hyperlink w:history="0" r:id="rId7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доходах</w:t>
            </w:r>
          </w:p>
        </w:tc>
        <w:tc>
          <w:tcPr>
            <w:tcW w:w="6803" w:type="dxa"/>
          </w:tcPr>
          <w:p>
            <w:pPr>
              <w:pStyle w:val="0"/>
              <w:jc w:val="both"/>
            </w:pPr>
            <w:r>
              <w:rPr>
                <w:sz w:val="20"/>
              </w:rPr>
              <w:t xml:space="preserve">Справка о доходах и суммах налога физического лица, которую можно получить у представителя нанимателя (работодателя) или через Личный кабинет налогоплательщика (официальный сайт </w:t>
            </w:r>
            <w:hyperlink w:history="0" r:id="rId75">
              <w:r>
                <w:rPr>
                  <w:sz w:val="20"/>
                  <w:color w:val="0000ff"/>
                </w:rPr>
                <w:t xml:space="preserve">https://lkfl2.nalog.ru/lkfl</w:t>
              </w:r>
            </w:hyperlink>
            <w:r>
              <w:rPr>
                <w:sz w:val="20"/>
              </w:rPr>
              <w:t xml:space="preserve">)</w:t>
            </w:r>
          </w:p>
        </w:tc>
      </w:tr>
      <w:tr>
        <w:tc>
          <w:tcPr>
            <w:vMerge w:val="continue"/>
          </w:tcPr>
          <w:p/>
        </w:tc>
        <w:tc>
          <w:tcPr>
            <w:tcW w:w="6803" w:type="dxa"/>
          </w:tcPr>
          <w:p>
            <w:pPr>
              <w:pStyle w:val="0"/>
              <w:jc w:val="both"/>
            </w:pPr>
            <w:r>
              <w:rPr>
                <w:sz w:val="20"/>
              </w:rPr>
              <w:t xml:space="preserve">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w:t>
            </w:r>
            <w:hyperlink w:history="0" r:id="rId76">
              <w:r>
                <w:rPr>
                  <w:sz w:val="20"/>
                  <w:color w:val="0000ff"/>
                </w:rPr>
                <w:t xml:space="preserve">https://lkfl2.nalog.ru/lkfl</w:t>
              </w:r>
            </w:hyperlink>
            <w:r>
              <w:rPr>
                <w:sz w:val="20"/>
              </w:rPr>
              <w:t xml:space="preserve">) или посредством официального сайта Фонда пенсионного и социального страхования Российской Федерации (</w:t>
            </w:r>
            <w:hyperlink w:history="0" r:id="rId77">
              <w:r>
                <w:rPr>
                  <w:sz w:val="20"/>
                  <w:color w:val="0000ff"/>
                </w:rPr>
                <w:t xml:space="preserve">https://sfr.gov.ru/</w:t>
              </w:r>
            </w:hyperlink>
            <w:r>
              <w:rPr>
                <w:sz w:val="20"/>
              </w:rPr>
              <w:t xml:space="preserve">)</w:t>
            </w:r>
          </w:p>
        </w:tc>
      </w:tr>
      <w:tr>
        <w:tc>
          <w:tcPr>
            <w:vMerge w:val="continue"/>
          </w:tcPr>
          <w:p/>
        </w:tc>
        <w:tc>
          <w:tcPr>
            <w:tcW w:w="6803" w:type="dxa"/>
          </w:tcPr>
          <w:p>
            <w:pPr>
              <w:pStyle w:val="0"/>
              <w:jc w:val="both"/>
            </w:pPr>
            <w:r>
              <w:rPr>
                <w:sz w:val="20"/>
              </w:rPr>
              <w:t xml:space="preserve">Выписка о движении денежных средств по счету (в отношении доходов, которые могут подлежать отражению в </w:t>
            </w:r>
            <w:hyperlink w:history="0" r:id="rId7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раздела 1 (например, разовые сделки по продаже имущества)</w:t>
            </w:r>
          </w:p>
        </w:tc>
      </w:tr>
      <w:tr>
        <w:tc>
          <w:tcPr>
            <w:tcW w:w="2268" w:type="dxa"/>
          </w:tcPr>
          <w:p>
            <w:pPr>
              <w:pStyle w:val="0"/>
              <w:jc w:val="both"/>
            </w:pPr>
            <w:hyperlink w:history="0" r:id="rId7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недвижимом имуществе</w:t>
            </w:r>
          </w:p>
        </w:tc>
        <w:tc>
          <w:tcPr>
            <w:tcW w:w="6803" w:type="dxa"/>
          </w:tcPr>
          <w:p>
            <w:pPr>
              <w:pStyle w:val="0"/>
              <w:jc w:val="both"/>
            </w:pPr>
            <w:r>
              <w:rPr>
                <w:sz w:val="20"/>
              </w:rPr>
              <w:t xml:space="preserve">Регистрационные документы.</w:t>
            </w:r>
          </w:p>
          <w:p>
            <w:pPr>
              <w:pStyle w:val="0"/>
              <w:jc w:val="both"/>
            </w:pPr>
            <w:r>
              <w:rPr>
                <w:sz w:val="20"/>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80">
              <w:r>
                <w:rPr>
                  <w:sz w:val="20"/>
                  <w:color w:val="0000ff"/>
                </w:rPr>
                <w:t xml:space="preserve">https://lkfl2.nalog.ru/lkfl</w:t>
              </w:r>
            </w:hyperlink>
            <w:r>
              <w:rPr>
                <w:sz w:val="20"/>
              </w:rPr>
              <w:t xml:space="preserve">)</w:t>
            </w:r>
          </w:p>
        </w:tc>
      </w:tr>
      <w:tr>
        <w:tc>
          <w:tcPr>
            <w:tcW w:w="2268" w:type="dxa"/>
          </w:tcPr>
          <w:p>
            <w:pPr>
              <w:pStyle w:val="0"/>
              <w:jc w:val="both"/>
            </w:pPr>
            <w:hyperlink w:history="0" r:id="rId8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транспортных средствах</w:t>
            </w:r>
          </w:p>
        </w:tc>
        <w:tc>
          <w:tcPr>
            <w:tcW w:w="6803" w:type="dxa"/>
          </w:tcPr>
          <w:p>
            <w:pPr>
              <w:pStyle w:val="0"/>
              <w:jc w:val="both"/>
            </w:pPr>
            <w:r>
              <w:rPr>
                <w:sz w:val="20"/>
              </w:rPr>
              <w:t xml:space="preserve">Регистрационные документы.</w:t>
            </w:r>
          </w:p>
          <w:p>
            <w:pPr>
              <w:pStyle w:val="0"/>
              <w:jc w:val="both"/>
            </w:pPr>
            <w:r>
              <w:rPr>
                <w:sz w:val="20"/>
              </w:rPr>
              <w:t xml:space="preserve">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w:t>
            </w:r>
            <w:hyperlink w:history="0" r:id="rId82">
              <w:r>
                <w:rPr>
                  <w:sz w:val="20"/>
                  <w:color w:val="0000ff"/>
                </w:rPr>
                <w:t xml:space="preserve">https://lkfl2.nalog.ru/lkfl</w:t>
              </w:r>
            </w:hyperlink>
            <w:r>
              <w:rPr>
                <w:sz w:val="20"/>
              </w:rPr>
              <w:t xml:space="preserve">)</w:t>
            </w:r>
          </w:p>
        </w:tc>
      </w:tr>
      <w:tr>
        <w:tc>
          <w:tcPr>
            <w:tcW w:w="2268" w:type="dxa"/>
          </w:tcPr>
          <w:p>
            <w:pPr>
              <w:pStyle w:val="0"/>
              <w:jc w:val="both"/>
            </w:pPr>
            <w:hyperlink w:history="0" r:id="rId8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счетах в банках и иных кредитных организациях</w:t>
            </w:r>
          </w:p>
        </w:tc>
        <w:tc>
          <w:tcPr>
            <w:tcW w:w="6803" w:type="dxa"/>
          </w:tcPr>
          <w:p>
            <w:pPr>
              <w:pStyle w:val="0"/>
              <w:jc w:val="both"/>
            </w:pPr>
            <w:r>
              <w:rPr>
                <w:sz w:val="20"/>
              </w:rPr>
              <w:t xml:space="preserve">В первую очередь, целесообразно получить данные сведения через личный кабинет налогоплательщика (официальный сайт </w:t>
            </w:r>
            <w:hyperlink w:history="0" r:id="rId84">
              <w:r>
                <w:rPr>
                  <w:sz w:val="20"/>
                  <w:color w:val="0000ff"/>
                </w:rPr>
                <w:t xml:space="preserve">https://lkfl2.nalog.ru/lkfl</w:t>
              </w:r>
            </w:hyperlink>
            <w:r>
              <w:rPr>
                <w:sz w:val="20"/>
              </w:rPr>
              <w:t xml:space="preserve">).</w:t>
            </w:r>
          </w:p>
          <w:p>
            <w:pPr>
              <w:pStyle w:val="0"/>
              <w:jc w:val="both"/>
            </w:pPr>
            <w:r>
              <w:rPr>
                <w:sz w:val="20"/>
              </w:rPr>
              <w:t xml:space="preserve">Впоследствии указанные сведения получаются через банк (иную кредитную организацию) на основании </w:t>
            </w:r>
            <w:hyperlink w:history="0" r:id="rId85"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(как лично, так и с использованием средств дистанционного обслуживания клиента)</w:t>
            </w:r>
          </w:p>
        </w:tc>
      </w:tr>
      <w:tr>
        <w:tc>
          <w:tcPr>
            <w:tcW w:w="2268" w:type="dxa"/>
          </w:tcPr>
          <w:p>
            <w:pPr>
              <w:pStyle w:val="0"/>
              <w:jc w:val="both"/>
            </w:pPr>
            <w:hyperlink w:history="0" r:id="rId8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ценных бумагах</w:t>
            </w:r>
          </w:p>
        </w:tc>
        <w:tc>
          <w:tcPr>
            <w:tcW w:w="6803" w:type="dxa"/>
          </w:tcPr>
          <w:p>
            <w:pPr>
              <w:pStyle w:val="0"/>
              <w:jc w:val="both"/>
            </w:pPr>
            <w:r>
              <w:rPr>
                <w:sz w:val="20"/>
              </w:rPr>
              <w:t xml:space="preserve">Регистрационные документы</w:t>
            </w:r>
          </w:p>
        </w:tc>
      </w:tr>
      <w:tr>
        <w:tc>
          <w:tcPr>
            <w:tcW w:w="2268" w:type="dxa"/>
          </w:tcPr>
          <w:p>
            <w:pPr>
              <w:pStyle w:val="0"/>
              <w:jc w:val="both"/>
            </w:pPr>
            <w:hyperlink w:history="0" r:id="rId8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об объектах недвижимого имущества, находящихся в пользовании</w:t>
            </w:r>
          </w:p>
        </w:tc>
        <w:tc>
          <w:tcPr>
            <w:tcW w:w="6803" w:type="dxa"/>
          </w:tcPr>
          <w:p>
            <w:pPr>
              <w:pStyle w:val="0"/>
              <w:jc w:val="both"/>
            </w:pPr>
            <w:r>
              <w:rPr>
                <w:sz w:val="20"/>
              </w:rPr>
              <w:t xml:space="preserve">При наличии письменных оснований пользования - письменные основания</w:t>
            </w:r>
          </w:p>
        </w:tc>
      </w:tr>
      <w:tr>
        <w:tc>
          <w:tcPr>
            <w:tcW w:w="2268" w:type="dxa"/>
          </w:tcPr>
          <w:p>
            <w:pPr>
              <w:pStyle w:val="0"/>
              <w:jc w:val="both"/>
            </w:pPr>
            <w:hyperlink w:history="0" r:id="rId8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Сведения</w:t>
              </w:r>
            </w:hyperlink>
            <w:r>
              <w:rPr>
                <w:sz w:val="20"/>
              </w:rPr>
              <w:t xml:space="preserve"> о срочных обязательствах финансового характера</w:t>
            </w:r>
          </w:p>
        </w:tc>
        <w:tc>
          <w:tcPr>
            <w:tcW w:w="6803" w:type="dxa"/>
          </w:tcPr>
          <w:p>
            <w:pPr>
              <w:pStyle w:val="0"/>
              <w:jc w:val="both"/>
            </w:pPr>
            <w:r>
              <w:rPr>
                <w:sz w:val="20"/>
              </w:rPr>
              <w:t xml:space="preserve">При наличии письменных оснований возникновения обязательства - письменные основания.</w:t>
            </w:r>
          </w:p>
          <w:p>
            <w:pPr>
              <w:pStyle w:val="0"/>
              <w:jc w:val="both"/>
            </w:pPr>
            <w:r>
              <w:rPr>
                <w:sz w:val="20"/>
              </w:rPr>
              <w:t xml:space="preserve">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w:t>
            </w:r>
            <w:hyperlink w:history="0" r:id="rId8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(как лично, так и с использованием средств дистанционного обслуживания клиента)</w:t>
            </w:r>
          </w:p>
        </w:tc>
      </w:tr>
    </w:tbl>
    <w:p>
      <w:pPr>
        <w:pStyle w:val="0"/>
        <w:jc w:val="both"/>
      </w:pPr>
      <w:r>
        <w:rPr>
          <w:sz w:val="20"/>
        </w:rPr>
      </w:r>
    </w:p>
    <w:p>
      <w:pPr>
        <w:pStyle w:val="0"/>
        <w:ind w:firstLine="540"/>
        <w:jc w:val="both"/>
      </w:pPr>
      <w:r>
        <w:rPr>
          <w:sz w:val="20"/>
        </w:rPr>
        <w:t xml:space="preserve">Ряд сведений также доступен на Портале государственных услуг Российской Федерации (</w:t>
      </w:r>
      <w:hyperlink w:history="0" r:id="rId90">
        <w:r>
          <w:rPr>
            <w:sz w:val="20"/>
            <w:color w:val="0000ff"/>
          </w:rPr>
          <w:t xml:space="preserve">https://www.gosuslugi.ru/</w:t>
        </w:r>
      </w:hyperlink>
      <w:r>
        <w:rPr>
          <w:sz w:val="20"/>
        </w:rPr>
        <w:t xml:space="preserve">).</w:t>
      </w:r>
    </w:p>
    <w:p>
      <w:pPr>
        <w:pStyle w:val="0"/>
        <w:spacing w:before="200" w:lineRule="auto"/>
        <w:ind w:firstLine="540"/>
        <w:jc w:val="both"/>
      </w:pPr>
      <w:r>
        <w:rPr>
          <w:sz w:val="20"/>
        </w:rPr>
        <w:t xml:space="preserve">Отдельные примеры конкретных источников информации указаны в применимых положениях настоящих Методических рекомендаций.</w:t>
      </w:r>
    </w:p>
    <w:p>
      <w:pPr>
        <w:pStyle w:val="0"/>
        <w:spacing w:before="200" w:lineRule="auto"/>
        <w:ind w:firstLine="540"/>
        <w:jc w:val="both"/>
      </w:pPr>
      <w:r>
        <w:rPr>
          <w:sz w:val="20"/>
        </w:rPr>
        <w:t xml:space="preserve">52. </w:t>
      </w:r>
      <w:hyperlink w:history="0" r:id="rId9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заполняется с использованием актуальной на дату представления Сведений версии СПО "Справки БК".</w:t>
      </w:r>
    </w:p>
    <w:p>
      <w:pPr>
        <w:pStyle w:val="0"/>
        <w:spacing w:before="200" w:lineRule="auto"/>
        <w:ind w:firstLine="540"/>
        <w:jc w:val="both"/>
      </w:pPr>
      <w:r>
        <w:rPr>
          <w:sz w:val="20"/>
        </w:rPr>
        <w:t xml:space="preserve">53. Оценка актуальности версии СПО "Справки БК" осуществляется при приеме </w:t>
      </w:r>
      <w:hyperlink w:history="0" r:id="rId9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При печати </w:t>
      </w:r>
      <w:hyperlink w:history="0" r:id="rId9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формируются зоны со служебной информацией (штриховые коды и т.п.), нанесение каких-либо пометок на которые не допускается.</w:t>
      </w:r>
    </w:p>
    <w:p>
      <w:pPr>
        <w:pStyle w:val="0"/>
        <w:spacing w:before="200" w:lineRule="auto"/>
        <w:ind w:firstLine="540"/>
        <w:jc w:val="both"/>
      </w:pPr>
      <w:r>
        <w:rPr>
          <w:sz w:val="20"/>
        </w:rPr>
        <w:t xml:space="preserve">54. Актуальная версия СПО "Справки БК" размещена на официальном сайте Президента Российской Федерации (</w:t>
      </w:r>
      <w:hyperlink w:history="0" r:id="rId94">
        <w:r>
          <w:rPr>
            <w:sz w:val="20"/>
            <w:color w:val="0000ff"/>
          </w:rPr>
          <w:t xml:space="preserve">http://www.kremlin.ru/structure/additional/12</w:t>
        </w:r>
      </w:hyperlink>
      <w:r>
        <w:rPr>
          <w:sz w:val="20"/>
        </w:rPr>
        <w:t xml:space="preserve">),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w:history="0" r:id="rId95">
        <w:r>
          <w:rPr>
            <w:sz w:val="20"/>
            <w:color w:val="0000ff"/>
          </w:rPr>
          <w:t xml:space="preserve">https://gossluzhba.gov.ru/anticorruption/spravki_bk</w:t>
        </w:r>
      </w:hyperlink>
      <w:r>
        <w:rPr>
          <w:sz w:val="20"/>
        </w:rPr>
        <w:t xml:space="preserve">).</w:t>
      </w:r>
    </w:p>
    <w:p>
      <w:pPr>
        <w:pStyle w:val="0"/>
        <w:spacing w:before="200" w:lineRule="auto"/>
        <w:ind w:firstLine="540"/>
        <w:jc w:val="both"/>
      </w:pPr>
      <w:r>
        <w:rPr>
          <w:sz w:val="20"/>
        </w:rPr>
        <w:t xml:space="preserve">55. При заполнении </w:t>
      </w:r>
      <w:hyperlink w:history="0" r:id="rId9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с использованием СПО "Справки БК" личной подписью заверяется только последний лист </w:t>
      </w:r>
      <w:hyperlink w:history="0" r:id="rId9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Наличие подписи на каждом листе (в пустой части страницы) не является нарушением. Лицу, представляющему </w:t>
      </w:r>
      <w:hyperlink w:history="0" r:id="rId9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распечатать, подписать и представить </w:t>
      </w:r>
      <w:hyperlink w:history="0" r:id="rId9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в течение одного дня (одной датой).</w:t>
      </w:r>
    </w:p>
    <w:p>
      <w:pPr>
        <w:pStyle w:val="0"/>
        <w:spacing w:before="200" w:lineRule="auto"/>
        <w:ind w:firstLine="540"/>
        <w:jc w:val="both"/>
      </w:pPr>
      <w:r>
        <w:rPr>
          <w:sz w:val="20"/>
        </w:rPr>
        <w:t xml:space="preserve">Законодательством Российской Федерации не предусмотрена возможность подписания </w:t>
      </w:r>
      <w:hyperlink w:history="0" r:id="rId10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иным лицом вместо служащего (работника), представляющего такую </w:t>
      </w:r>
      <w:hyperlink w:history="0" r:id="rId10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w:t>
      </w:r>
    </w:p>
    <w:p>
      <w:pPr>
        <w:pStyle w:val="0"/>
        <w:spacing w:before="200" w:lineRule="auto"/>
        <w:ind w:firstLine="540"/>
        <w:jc w:val="both"/>
      </w:pPr>
      <w:r>
        <w:rPr>
          <w:sz w:val="20"/>
        </w:rPr>
        <w:t xml:space="preserve">При этом следует избегать ситуаций, при которых дата печати </w:t>
      </w:r>
      <w:hyperlink w:history="0" r:id="rId10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автоматически формируемая в правом нижнем углу каждого листа </w:t>
      </w:r>
      <w:hyperlink w:history="0" r:id="rId10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будет ранее отчетной даты, указываемой на титульном листе </w:t>
      </w:r>
      <w:hyperlink w:history="0" r:id="rId10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или позднее даты заверения достоверности и полноты на последнем листе </w:t>
      </w:r>
      <w:hyperlink w:history="0" r:id="rId10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Также не рекомендуется осуществлять подмену листов </w:t>
      </w:r>
      <w:hyperlink w:history="0" r:id="rId10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листами, напечатанными в иной момент времени. При этом листы одной </w:t>
      </w:r>
      <w:hyperlink w:history="0" r:id="rId10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следует менять и вставлять в другие </w:t>
      </w:r>
      <w:hyperlink w:history="0" r:id="rId10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даже если они содержат идентичную информацию и время печати.</w:t>
      </w:r>
    </w:p>
    <w:p>
      <w:pPr>
        <w:pStyle w:val="0"/>
        <w:spacing w:before="200" w:lineRule="auto"/>
        <w:ind w:firstLine="540"/>
        <w:jc w:val="both"/>
      </w:pPr>
      <w:r>
        <w:rPr>
          <w:sz w:val="20"/>
        </w:rPr>
        <w:t xml:space="preserve">Согласно Инструкции о порядке заполнения </w:t>
      </w:r>
      <w:hyperlink w:history="0" r:id="rId10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о доходах, расходах, об имуществе и обязательствах имущественного характера с использованием СПО "Справки БК" необходимо учитывать следующее:</w:t>
      </w:r>
    </w:p>
    <w:p>
      <w:pPr>
        <w:pStyle w:val="0"/>
        <w:spacing w:before="200" w:lineRule="auto"/>
        <w:ind w:firstLine="540"/>
        <w:jc w:val="both"/>
      </w:pPr>
      <w:r>
        <w:rPr>
          <w:sz w:val="20"/>
        </w:rPr>
        <w:t xml:space="preserve">- для печати </w:t>
      </w:r>
      <w:hyperlink w:history="0" r:id="rId11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справок</w:t>
        </w:r>
      </w:hyperlink>
      <w:r>
        <w:rPr>
          <w:sz w:val="20"/>
        </w:rPr>
        <w:t xml:space="preserve"> используется лазерный принтер, обеспечивающий качественную печать;</w:t>
      </w:r>
    </w:p>
    <w:p>
      <w:pPr>
        <w:pStyle w:val="0"/>
        <w:spacing w:before="200" w:lineRule="auto"/>
        <w:ind w:firstLine="540"/>
        <w:jc w:val="both"/>
      </w:pPr>
      <w:r>
        <w:rPr>
          <w:sz w:val="20"/>
        </w:rPr>
        <w:t xml:space="preserve">- не допускаются дефекты печати в виде полос, пятен (при дефектах барабана или картриджа принтера);</w:t>
      </w:r>
    </w:p>
    <w:p>
      <w:pPr>
        <w:pStyle w:val="0"/>
        <w:spacing w:before="200" w:lineRule="auto"/>
        <w:ind w:firstLine="540"/>
        <w:jc w:val="both"/>
      </w:pPr>
      <w:r>
        <w:rPr>
          <w:sz w:val="20"/>
        </w:rPr>
        <w:t xml:space="preserve">- не допускается наличие подписи и пометок на линейных и двумерных штрих-кодах (подпись на </w:t>
      </w:r>
      <w:hyperlink w:history="0" r:id="rId11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может быть поставлена в правом нижнем углу всех страниц, кроме последней. На последней странице подпись ставится в специально отведенном месте);</w:t>
      </w:r>
    </w:p>
    <w:p>
      <w:pPr>
        <w:pStyle w:val="0"/>
        <w:spacing w:before="200" w:lineRule="auto"/>
        <w:ind w:firstLine="540"/>
        <w:jc w:val="both"/>
      </w:pPr>
      <w:r>
        <w:rPr>
          <w:sz w:val="20"/>
        </w:rPr>
        <w:t xml:space="preserve">- не допускаются рукописные правки.</w:t>
      </w:r>
    </w:p>
    <w:p>
      <w:pPr>
        <w:pStyle w:val="0"/>
        <w:spacing w:before="200" w:lineRule="auto"/>
        <w:ind w:firstLine="540"/>
        <w:jc w:val="both"/>
      </w:pPr>
      <w:hyperlink w:history="0" r:id="rId11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 следует прошивать и фиксировать скрепкой.</w:t>
      </w:r>
    </w:p>
    <w:p>
      <w:pPr>
        <w:pStyle w:val="0"/>
        <w:spacing w:before="200" w:lineRule="auto"/>
        <w:ind w:firstLine="540"/>
        <w:jc w:val="both"/>
      </w:pPr>
      <w:r>
        <w:rPr>
          <w:sz w:val="20"/>
        </w:rPr>
        <w:t xml:space="preserve">Печатать </w:t>
      </w:r>
      <w:hyperlink w:history="0" r:id="rId11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рекомендуется только на одной стороне листа.</w:t>
      </w:r>
    </w:p>
    <w:bookmarkStart w:id="267" w:name="P267"/>
    <w:bookmarkEnd w:id="267"/>
    <w:p>
      <w:pPr>
        <w:pStyle w:val="0"/>
        <w:spacing w:before="200" w:lineRule="auto"/>
        <w:ind w:firstLine="540"/>
        <w:jc w:val="both"/>
      </w:pPr>
      <w:r>
        <w:rPr>
          <w:sz w:val="20"/>
        </w:rPr>
        <w:t xml:space="preserve">56. В </w:t>
      </w:r>
      <w:hyperlink w:history="0" r:id="rId11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w:t>
      </w:r>
      <w:hyperlink w:history="0" r:id="rId115">
        <w:r>
          <w:rPr>
            <w:sz w:val="20"/>
            <w:color w:val="0000ff"/>
          </w:rPr>
          <w:t xml:space="preserve">https://www.cbr.ru/currency_base/daily/</w:t>
        </w:r>
      </w:hyperlink>
      <w:r>
        <w:rPr>
          <w:sz w:val="20"/>
        </w:rPr>
        <w:t xml:space="preserve">.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pPr>
        <w:pStyle w:val="0"/>
        <w:jc w:val="both"/>
      </w:pPr>
      <w:r>
        <w:rPr>
          <w:sz w:val="20"/>
        </w:rPr>
      </w:r>
    </w:p>
    <w:p>
      <w:pPr>
        <w:pStyle w:val="2"/>
        <w:outlineLvl w:val="1"/>
        <w:jc w:val="center"/>
      </w:pPr>
      <w:r>
        <w:rPr>
          <w:sz w:val="20"/>
        </w:rPr>
        <w:t xml:space="preserve">ТИТУЛЬНЫЙ </w:t>
      </w:r>
      <w:hyperlink w:history="0" r:id="rId11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w:t>
        </w:r>
      </w:hyperlink>
    </w:p>
    <w:p>
      <w:pPr>
        <w:pStyle w:val="0"/>
        <w:jc w:val="both"/>
      </w:pPr>
      <w:r>
        <w:rPr>
          <w:sz w:val="20"/>
        </w:rPr>
      </w:r>
    </w:p>
    <w:p>
      <w:pPr>
        <w:pStyle w:val="0"/>
        <w:ind w:firstLine="540"/>
        <w:jc w:val="both"/>
      </w:pPr>
      <w:r>
        <w:rPr>
          <w:sz w:val="20"/>
        </w:rPr>
        <w:t xml:space="preserve">57. При заполнении титульного </w:t>
      </w:r>
      <w:hyperlink w:history="0" r:id="rId11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рекомендуется обратить внимание на следующее:</w:t>
      </w:r>
    </w:p>
    <w:p>
      <w:pPr>
        <w:pStyle w:val="0"/>
        <w:spacing w:before="200" w:lineRule="auto"/>
        <w:ind w:firstLine="540"/>
        <w:jc w:val="both"/>
      </w:pPr>
      <w:r>
        <w:rPr>
          <w:sz w:val="20"/>
        </w:rPr>
        <w:t xml:space="preserve">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подписания </w:t>
      </w:r>
      <w:hyperlink w:history="0" r:id="rId11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(реквизиты удостоверяющего личность документа указываются по состоянию на дату подписания). Серия свидетельства о рождении указывается по формату: римские цифры - в латинской раскладке клавиатуры, русские буквы - в русской;</w:t>
      </w:r>
    </w:p>
    <w:p>
      <w:pPr>
        <w:pStyle w:val="0"/>
        <w:spacing w:before="200" w:lineRule="auto"/>
        <w:ind w:firstLine="540"/>
        <w:jc w:val="both"/>
      </w:pPr>
      <w:r>
        <w:rPr>
          <w:sz w:val="20"/>
        </w:rPr>
        <w:t xml:space="preserve">2) дата рождения (год рождения) указывается в соответствии с записью в документе, удостоверяющем личность;</w:t>
      </w:r>
    </w:p>
    <w:p>
      <w:pPr>
        <w:pStyle w:val="0"/>
        <w:spacing w:before="200" w:lineRule="auto"/>
        <w:ind w:firstLine="540"/>
        <w:jc w:val="both"/>
      </w:pPr>
      <w:r>
        <w:rPr>
          <w:sz w:val="20"/>
        </w:rPr>
        <w:t xml:space="preserve">3) страховой номер индивидуального лицевого счета (СНИЛС) указывается при наличии. При этом в соответствии с Федеральным </w:t>
      </w:r>
      <w:hyperlink w:history="0" r:id="rId119"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законом</w:t>
        </w:r>
      </w:hyperlink>
      <w:r>
        <w:rPr>
          <w:sz w:val="20"/>
        </w:rPr>
        <w:t xml:space="preserve"> от 1 апреля 1996 г. N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pPr>
        <w:pStyle w:val="0"/>
        <w:spacing w:before="200" w:lineRule="auto"/>
        <w:ind w:firstLine="540"/>
        <w:jc w:val="both"/>
      </w:pPr>
      <w:r>
        <w:rPr>
          <w:sz w:val="20"/>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гражданином и служащим (работником) на дату подписания.</w:t>
      </w:r>
    </w:p>
    <w:p>
      <w:pPr>
        <w:pStyle w:val="0"/>
        <w:spacing w:before="200" w:lineRule="auto"/>
        <w:ind w:firstLine="540"/>
        <w:jc w:val="both"/>
      </w:pPr>
      <w:r>
        <w:rPr>
          <w:sz w:val="20"/>
        </w:rPr>
        <w:t xml:space="preserve">При заполнении </w:t>
      </w:r>
      <w:hyperlink w:history="0" r:id="rId12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гражданином, не осуществляющим трудовую деятельность в установленном порядке, претендующим на замещение вакантной должности, в </w:t>
      </w:r>
      <w:hyperlink w:history="0" r:id="rId12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указывается: "временно неработающий".</w:t>
      </w:r>
    </w:p>
    <w:p>
      <w:pPr>
        <w:pStyle w:val="0"/>
        <w:spacing w:before="200" w:lineRule="auto"/>
        <w:ind w:firstLine="540"/>
        <w:jc w:val="both"/>
      </w:pPr>
      <w:r>
        <w:rPr>
          <w:sz w:val="20"/>
        </w:rPr>
        <w:t xml:space="preserve">Если Сведения представляются в отношении несовершеннолетнего ребенка, то в </w:t>
      </w:r>
      <w:hyperlink w:history="0" r:id="rId12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образовательную организацию, обучающимся которой он является, или "находится на домашнем воспитании".</w:t>
      </w:r>
    </w:p>
    <w:p>
      <w:pPr>
        <w:pStyle w:val="0"/>
        <w:spacing w:before="200" w:lineRule="auto"/>
        <w:ind w:firstLine="540"/>
        <w:jc w:val="both"/>
      </w:pPr>
      <w:r>
        <w:rPr>
          <w:sz w:val="20"/>
        </w:rPr>
        <w:t xml:space="preserve">При представлении Сведений в отношении супруга (супруги) и несовершеннолетних детей, не являющихся обучающимися,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w:t>
      </w:r>
      <w:hyperlink w:history="0" r:id="rId12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"безработный"; в случае если супруг (супруга) или несовершеннолетний ребенок, не являющийся обучающимся, не имеют работу и заработок и при этом не зарегистрированы в органах службы занятости, то в </w:t>
      </w:r>
      <w:hyperlink w:history="0" r:id="rId12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"род занятий" рекомендуется указывать "временно неработающий" или "домохозяйка" ("домохозяин").</w:t>
      </w:r>
    </w:p>
    <w:p>
      <w:pPr>
        <w:pStyle w:val="0"/>
        <w:spacing w:before="200" w:lineRule="auto"/>
        <w:ind w:firstLine="540"/>
        <w:jc w:val="both"/>
      </w:pPr>
      <w:r>
        <w:rPr>
          <w:sz w:val="20"/>
        </w:rPr>
        <w:t xml:space="preserve">Супругу (супруге) и несовершеннолетним детям, осуществляющим уход за нетрудоспособными гражданами, в рассматриваемой </w:t>
      </w:r>
      <w:hyperlink w:history="0" r:id="rId12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рекомендуется указывать "осуществляющий уход за нетрудоспособным гражданином".</w:t>
      </w:r>
    </w:p>
    <w:p>
      <w:pPr>
        <w:pStyle w:val="0"/>
        <w:spacing w:before="200" w:lineRule="auto"/>
        <w:ind w:firstLine="540"/>
        <w:jc w:val="both"/>
      </w:pPr>
      <w:r>
        <w:rPr>
          <w:sz w:val="20"/>
        </w:rPr>
        <w:t xml:space="preserve">В случае прохождения военной службы супругом (супругой) при заполнении титульного </w:t>
      </w:r>
      <w:hyperlink w:history="0" r:id="rId12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листа</w:t>
        </w:r>
      </w:hyperlink>
      <w:r>
        <w:rPr>
          <w:sz w:val="20"/>
        </w:rPr>
        <w:t xml:space="preserve">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w:t>
      </w:r>
      <w:hyperlink w:history="0" r:id="rId12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сведений о должностях военнослужащих, замещаемых ими в конкретных войсковых частях, представляется нецелесообразным;</w:t>
      </w:r>
    </w:p>
    <w:p>
      <w:pPr>
        <w:pStyle w:val="0"/>
        <w:spacing w:before="200" w:lineRule="auto"/>
        <w:ind w:firstLine="540"/>
        <w:jc w:val="both"/>
      </w:pPr>
      <w:r>
        <w:rPr>
          <w:sz w:val="20"/>
        </w:rPr>
        <w:t xml:space="preserve">5) при наличии на дату подписания </w:t>
      </w:r>
      <w:hyperlink w:history="0" r:id="rId12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нескольких мест работы на титульном </w:t>
      </w:r>
      <w:hyperlink w:history="0" r:id="rId12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листе</w:t>
        </w:r>
      </w:hyperlink>
      <w:r>
        <w:rPr>
          <w:sz w:val="20"/>
        </w:rPr>
        <w:t xml:space="preserve">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pPr>
        <w:pStyle w:val="0"/>
        <w:spacing w:before="200" w:lineRule="auto"/>
        <w:ind w:firstLine="540"/>
        <w:jc w:val="both"/>
      </w:pPr>
      <w:r>
        <w:rPr>
          <w:sz w:val="20"/>
        </w:rPr>
        <w:t xml:space="preserve">При заполнении </w:t>
      </w:r>
      <w:hyperlink w:history="0" r:id="rId13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pPr>
        <w:pStyle w:val="0"/>
        <w:spacing w:before="200" w:lineRule="auto"/>
        <w:ind w:firstLine="540"/>
        <w:jc w:val="both"/>
      </w:pPr>
      <w:r>
        <w:rPr>
          <w:sz w:val="20"/>
        </w:rPr>
        <w:t xml:space="preserve">При заполнении </w:t>
      </w:r>
      <w:hyperlink w:history="0" r:id="rId13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лица, зарегистрированного в качестве индивидуального предпринимателя, рекомендуется указывать соответствующий статус.</w:t>
      </w:r>
    </w:p>
    <w:p>
      <w:pPr>
        <w:pStyle w:val="0"/>
        <w:spacing w:before="200" w:lineRule="auto"/>
        <w:ind w:firstLine="540"/>
        <w:jc w:val="both"/>
      </w:pPr>
      <w:r>
        <w:rPr>
          <w:sz w:val="20"/>
        </w:rPr>
        <w:t xml:space="preserve">При заполнении </w:t>
      </w:r>
      <w:hyperlink w:history="0" r:id="rId13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pPr>
        <w:pStyle w:val="0"/>
        <w:spacing w:before="200" w:lineRule="auto"/>
        <w:ind w:firstLine="540"/>
        <w:jc w:val="both"/>
      </w:pPr>
      <w:r>
        <w:rPr>
          <w:sz w:val="20"/>
        </w:rPr>
        <w:t xml:space="preserve">6) адрес места регистрации указывается по состоянию на дату подписания </w:t>
      </w:r>
      <w:hyperlink w:history="0" r:id="rId13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"Доп.информация". При отсутствии постоянной регистрации указывается временная. В случае если служащий (работник), гражданин, член семьи не проживает по адресу места регистрации, в СПО "Справки БК" - в графе "Доп.информация" указывается адрес фактического проживания;</w:t>
      </w:r>
    </w:p>
    <w:p>
      <w:pPr>
        <w:pStyle w:val="0"/>
        <w:spacing w:before="200" w:lineRule="auto"/>
        <w:ind w:firstLine="540"/>
        <w:jc w:val="both"/>
      </w:pPr>
      <w:r>
        <w:rPr>
          <w:sz w:val="20"/>
        </w:rPr>
        <w:t xml:space="preserve">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w:t>
      </w:r>
      <w:hyperlink w:history="0" w:anchor="P92" w:tooltip="22. Отчетный период и отчетная дата представления сведений о доходах, об имуществе и обязательствах имущественного характера, установленные для граждан и служащих (работников), различны:">
        <w:r>
          <w:rPr>
            <w:sz w:val="20"/>
            <w:color w:val="0000ff"/>
          </w:rPr>
          <w:t xml:space="preserve">пункт 22</w:t>
        </w:r>
      </w:hyperlink>
      <w:r>
        <w:rPr>
          <w:sz w:val="20"/>
        </w:rPr>
        <w:t xml:space="preserve"> настоящих Методических рекомендаций).</w:t>
      </w:r>
    </w:p>
    <w:p>
      <w:pPr>
        <w:pStyle w:val="0"/>
        <w:jc w:val="both"/>
      </w:pPr>
      <w:r>
        <w:rPr>
          <w:sz w:val="20"/>
        </w:rPr>
      </w:r>
    </w:p>
    <w:p>
      <w:pPr>
        <w:pStyle w:val="2"/>
        <w:outlineLvl w:val="1"/>
        <w:jc w:val="center"/>
      </w:pPr>
      <w:hyperlink w:history="0" r:id="rId13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1</w:t>
        </w:r>
      </w:hyperlink>
      <w:r>
        <w:rPr>
          <w:sz w:val="20"/>
        </w:rPr>
        <w:t xml:space="preserve">. СВЕДЕНИЯ О ДОХОДАХ</w:t>
      </w:r>
    </w:p>
    <w:p>
      <w:pPr>
        <w:pStyle w:val="0"/>
        <w:jc w:val="both"/>
      </w:pPr>
      <w:r>
        <w:rPr>
          <w:sz w:val="20"/>
        </w:rPr>
      </w:r>
    </w:p>
    <w:p>
      <w:pPr>
        <w:pStyle w:val="0"/>
        <w:ind w:firstLine="540"/>
        <w:jc w:val="both"/>
      </w:pPr>
      <w:r>
        <w:rPr>
          <w:sz w:val="20"/>
        </w:rPr>
        <w:t xml:space="preserve">58. При заполнении данного </w:t>
      </w:r>
      <w:hyperlink w:history="0" r:id="rId13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не следует руководствоваться только содержанием термина "доход", определенного в </w:t>
      </w:r>
      <w:hyperlink w:history="0" r:id="rId136" w:tooltip="&quot;Налоговый кодекс Российской Федерации (часть первая)&quot; от 31.07.1998 N 146-ФЗ (ред. от 17.04.2026) {КонсультантПлюс}">
        <w:r>
          <w:rPr>
            <w:sz w:val="20"/>
            <w:color w:val="0000ff"/>
          </w:rPr>
          <w:t xml:space="preserve">статье 41</w:t>
        </w:r>
      </w:hyperlink>
      <w:r>
        <w:rPr>
          <w:sz w:val="20"/>
        </w:rPr>
        <w:t xml:space="preserve">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pPr>
        <w:pStyle w:val="0"/>
        <w:spacing w:before="200" w:lineRule="auto"/>
        <w:ind w:firstLine="540"/>
        <w:jc w:val="both"/>
      </w:pPr>
      <w:r>
        <w:rPr>
          <w:sz w:val="20"/>
        </w:rPr>
        <w:t xml:space="preserve">59. 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w:t>
      </w:r>
      <w:hyperlink w:history="0" r:id="rId13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служащего (работника)).</w:t>
      </w:r>
    </w:p>
    <w:p>
      <w:pPr>
        <w:pStyle w:val="0"/>
        <w:ind w:firstLine="540"/>
        <w:jc w:val="both"/>
      </w:pPr>
      <w:r>
        <w:rPr>
          <w:sz w:val="20"/>
        </w:rPr>
      </w:r>
    </w:p>
    <w:p>
      <w:pPr>
        <w:pStyle w:val="2"/>
        <w:outlineLvl w:val="2"/>
        <w:ind w:firstLine="540"/>
        <w:jc w:val="both"/>
      </w:pPr>
      <w:r>
        <w:rPr>
          <w:sz w:val="20"/>
        </w:rPr>
        <w:t xml:space="preserve">Доход по основному месту работы</w:t>
      </w:r>
    </w:p>
    <w:p>
      <w:pPr>
        <w:pStyle w:val="0"/>
        <w:spacing w:before="200" w:lineRule="auto"/>
        <w:ind w:firstLine="540"/>
        <w:jc w:val="both"/>
      </w:pPr>
      <w:r>
        <w:rPr>
          <w:sz w:val="20"/>
        </w:rPr>
        <w:t xml:space="preserve">60. В данной </w:t>
      </w:r>
      <w:hyperlink w:history="0" r:id="rId13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доход, полученный служащим (работником) в том органе (организации), в котором он замещает должность, замещение которой предусматривает представление Сведений. Гражданином в данной </w:t>
      </w:r>
      <w:hyperlink w:history="0" r:id="rId13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доход, полученный им в том органе (организации), в котором он замещал должность на дату подписания </w:t>
      </w:r>
      <w:hyperlink w:history="0" r:id="rId14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Указанию подлежит общая сумма дохода, содержащаяся в Справке о доходах и суммах налога физического лица, выдаваемой по месту службы (работы) (графа "Общая сумма дохода"). Если по основному месту работы получен доход, который не включен в Справку о доходах и суммах налога физического лица, он подлежит указанию в </w:t>
      </w:r>
      <w:hyperlink w:history="0" r:id="rId14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w:t>
      </w:r>
    </w:p>
    <w:p>
      <w:pPr>
        <w:pStyle w:val="0"/>
        <w:spacing w:before="200" w:lineRule="auto"/>
        <w:ind w:firstLine="540"/>
        <w:jc w:val="both"/>
      </w:pPr>
      <w:r>
        <w:rPr>
          <w:sz w:val="20"/>
        </w:rPr>
        <w:t xml:space="preserve">Служащий (работник) может представить пояснения, если его доходы, указанные в </w:t>
      </w:r>
      <w:hyperlink w:history="0" r:id="rId14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и в Справке о доходах и суммах налога физического лица, отличаются, и приложить их к </w:t>
      </w:r>
      <w:hyperlink w:history="0" r:id="rId14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61. 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w:t>
      </w:r>
      <w:hyperlink w:history="0" r:id="rId14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При этом в </w:t>
      </w:r>
      <w:hyperlink w:history="0" r:id="rId14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дохода" указывается предыдущее место работы.</w:t>
      </w:r>
    </w:p>
    <w:p>
      <w:pPr>
        <w:pStyle w:val="0"/>
        <w:ind w:firstLine="540"/>
        <w:jc w:val="both"/>
      </w:pPr>
      <w:r>
        <w:rPr>
          <w:sz w:val="20"/>
        </w:rPr>
      </w:r>
    </w:p>
    <w:p>
      <w:pPr>
        <w:pStyle w:val="2"/>
        <w:outlineLvl w:val="3"/>
        <w:ind w:firstLine="540"/>
        <w:jc w:val="both"/>
      </w:pPr>
      <w:r>
        <w:rPr>
          <w:sz w:val="20"/>
        </w:rPr>
        <w:t xml:space="preserve">Особенности заполнения данной </w:t>
      </w:r>
      <w:hyperlink w:history="0" r:id="rId14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отдельными категориями лиц</w:t>
      </w:r>
    </w:p>
    <w:bookmarkStart w:id="299" w:name="P299"/>
    <w:bookmarkEnd w:id="299"/>
    <w:p>
      <w:pPr>
        <w:pStyle w:val="0"/>
        <w:spacing w:before="200" w:lineRule="auto"/>
        <w:ind w:firstLine="540"/>
        <w:jc w:val="both"/>
      </w:pPr>
      <w:r>
        <w:rPr>
          <w:sz w:val="20"/>
        </w:rPr>
        <w:t xml:space="preserve">62. 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pPr>
        <w:pStyle w:val="0"/>
        <w:spacing w:before="200" w:lineRule="auto"/>
        <w:ind w:firstLine="540"/>
        <w:jc w:val="both"/>
      </w:pPr>
      <w:r>
        <w:rPr>
          <w:sz w:val="20"/>
        </w:rPr>
        <w:t xml:space="preserve">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4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2) при применении патентной системы налогообложения (ПСН) в качестве "дохода" указывается сумма доходов от реализации, определяемая в соответствии со </w:t>
      </w:r>
      <w:hyperlink w:history="0" r:id="rId148" w:tooltip="&quot;Налоговый кодекс Российской Федерации (часть вторая)&quot; от 05.08.2000 N 117-ФЗ (ред. от 25.05.2026) {КонсультантПлюс}">
        <w:r>
          <w:rPr>
            <w:sz w:val="20"/>
            <w:color w:val="0000ff"/>
          </w:rPr>
          <w:t xml:space="preserve">статьей 249</w:t>
        </w:r>
      </w:hyperlink>
      <w:r>
        <w:rPr>
          <w:sz w:val="20"/>
        </w:rPr>
        <w:t xml:space="preserve"> Налогового кодекса РФ, которая подлежит отражению в книге учета доходов индивидуального предпринимателя, применяющего ПСН;</w:t>
      </w:r>
    </w:p>
    <w:p>
      <w:pPr>
        <w:pStyle w:val="0"/>
        <w:spacing w:before="200" w:lineRule="auto"/>
        <w:ind w:firstLine="540"/>
        <w:jc w:val="both"/>
      </w:pPr>
      <w:r>
        <w:rPr>
          <w:sz w:val="20"/>
        </w:rPr>
        <w:t xml:space="preserve">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pPr>
        <w:pStyle w:val="0"/>
        <w:spacing w:before="200" w:lineRule="auto"/>
        <w:ind w:firstLine="540"/>
        <w:jc w:val="both"/>
      </w:pPr>
      <w:r>
        <w:rPr>
          <w:sz w:val="20"/>
        </w:rPr>
        <w:t xml:space="preserve">4) при применении автоматизированной упрощенной системы налогообложения (АвтоУСН)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w:t>
      </w:r>
      <w:hyperlink w:history="0" r:id="rId14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w:t>
      </w:r>
      <w:hyperlink w:history="0" r:id="rId15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w:t>
      </w:r>
      <w:hyperlink w:history="0" r:id="rId15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pPr>
        <w:pStyle w:val="0"/>
        <w:spacing w:before="200" w:lineRule="auto"/>
        <w:ind w:firstLine="540"/>
        <w:jc w:val="both"/>
      </w:pPr>
      <w:r>
        <w:rPr>
          <w:sz w:val="20"/>
        </w:rPr>
        <w:t xml:space="preserve">63. При заполнении данного </w:t>
      </w:r>
      <w:hyperlink w:history="0" r:id="rId15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лицом, замещающим государственную (муниципальную) должность на непостоянной основе, указывается доход по основному месту работы.</w:t>
      </w:r>
    </w:p>
    <w:p>
      <w:pPr>
        <w:pStyle w:val="0"/>
        <w:spacing w:before="200" w:lineRule="auto"/>
        <w:ind w:firstLine="540"/>
        <w:jc w:val="both"/>
      </w:pPr>
      <w:r>
        <w:rPr>
          <w:sz w:val="20"/>
        </w:rPr>
        <w:t xml:space="preserve">64. 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pPr>
        <w:pStyle w:val="0"/>
        <w:spacing w:before="200" w:lineRule="auto"/>
        <w:ind w:firstLine="540"/>
        <w:jc w:val="both"/>
      </w:pPr>
      <w:r>
        <w:rPr>
          <w:sz w:val="20"/>
        </w:rPr>
        <w:t xml:space="preserve">65. 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w:t>
      </w:r>
      <w:hyperlink w:history="0" r:id="rId153" w:tooltip="&lt;Письмо&gt; Минтруда России от 19.04.2021 N 28-6/10/В-4623 &lt;О направлении Разъяснений по вопросу возможности применения отдельными категориями лиц специального налогового режима &quot;Налог на профессиональный доход&quot;&gt; {КонсультантПлюс}">
        <w:r>
          <w:rPr>
            <w:sz w:val="20"/>
            <w:color w:val="0000ff"/>
          </w:rPr>
          <w:t xml:space="preserve">письме</w:t>
        </w:r>
      </w:hyperlink>
      <w:r>
        <w:rPr>
          <w:sz w:val="20"/>
        </w:rPr>
        <w:t xml:space="preserve"> Минтруда России от 19 апреля 2021 г. N 28-6/10/В-4623 (</w:t>
      </w:r>
      <w:hyperlink w:history="0" r:id="rId154">
        <w:r>
          <w:rPr>
            <w:sz w:val="20"/>
            <w:color w:val="0000ff"/>
          </w:rPr>
          <w:t xml:space="preserve">https://mintrud.gov.ru/docs/1872</w:t>
        </w:r>
      </w:hyperlink>
      <w:r>
        <w:rPr>
          <w:sz w:val="20"/>
        </w:rPr>
        <w:t xml:space="preserve">).</w:t>
      </w:r>
    </w:p>
    <w:p>
      <w:pPr>
        <w:pStyle w:val="0"/>
        <w:ind w:firstLine="540"/>
        <w:jc w:val="both"/>
      </w:pPr>
      <w:r>
        <w:rPr>
          <w:sz w:val="20"/>
        </w:rPr>
      </w:r>
    </w:p>
    <w:p>
      <w:pPr>
        <w:pStyle w:val="2"/>
        <w:outlineLvl w:val="2"/>
        <w:ind w:firstLine="540"/>
        <w:jc w:val="both"/>
      </w:pPr>
      <w:r>
        <w:rPr>
          <w:sz w:val="20"/>
        </w:rPr>
        <w:t xml:space="preserve">Доход от педагогической и научной деятельности</w:t>
      </w:r>
    </w:p>
    <w:p>
      <w:pPr>
        <w:pStyle w:val="0"/>
        <w:spacing w:before="200" w:lineRule="auto"/>
        <w:ind w:firstLine="540"/>
        <w:jc w:val="both"/>
      </w:pPr>
      <w:r>
        <w:rPr>
          <w:sz w:val="20"/>
        </w:rPr>
        <w:t xml:space="preserve">66. В данной </w:t>
      </w:r>
      <w:hyperlink w:history="0" r:id="rId15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дохода от педагогической деятельности (сумма дохода, содержащаяся в Справке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pPr>
        <w:pStyle w:val="0"/>
        <w:spacing w:before="200" w:lineRule="auto"/>
        <w:ind w:firstLine="540"/>
        <w:jc w:val="both"/>
      </w:pPr>
      <w:r>
        <w:rPr>
          <w:sz w:val="20"/>
        </w:rPr>
        <w:t xml:space="preserve">67. Если педагогическая или научная деятельность являлась деятельностью по основному месту работы (например, супруга (супруг)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hyperlink w:history="0" r:id="rId15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 а не в </w:t>
      </w:r>
      <w:hyperlink w:history="0" r:id="rId15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педагогической и научной деятельности".</w:t>
      </w:r>
    </w:p>
    <w:p>
      <w:pPr>
        <w:pStyle w:val="0"/>
        <w:ind w:firstLine="540"/>
        <w:jc w:val="both"/>
      </w:pPr>
      <w:r>
        <w:rPr>
          <w:sz w:val="20"/>
        </w:rPr>
      </w:r>
    </w:p>
    <w:p>
      <w:pPr>
        <w:pStyle w:val="2"/>
        <w:outlineLvl w:val="2"/>
        <w:ind w:firstLine="540"/>
        <w:jc w:val="both"/>
      </w:pPr>
      <w:r>
        <w:rPr>
          <w:sz w:val="20"/>
        </w:rPr>
        <w:t xml:space="preserve">Доход от иной творческой деятельности</w:t>
      </w:r>
    </w:p>
    <w:p>
      <w:pPr>
        <w:pStyle w:val="0"/>
        <w:spacing w:before="200" w:lineRule="auto"/>
        <w:ind w:firstLine="540"/>
        <w:jc w:val="both"/>
      </w:pPr>
      <w:r>
        <w:rPr>
          <w:sz w:val="20"/>
        </w:rPr>
        <w:t xml:space="preserve">68. В данной </w:t>
      </w:r>
      <w:hyperlink w:history="0" r:id="rId15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pPr>
        <w:pStyle w:val="0"/>
        <w:spacing w:before="200" w:lineRule="auto"/>
        <w:ind w:firstLine="540"/>
        <w:jc w:val="both"/>
      </w:pPr>
      <w:r>
        <w:rPr>
          <w:sz w:val="20"/>
        </w:rPr>
        <w:t xml:space="preserve">69. Подлежат указанию в строках "</w:t>
      </w:r>
      <w:hyperlink w:history="0" r:id="rId15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Доход</w:t>
        </w:r>
      </w:hyperlink>
      <w:r>
        <w:rPr>
          <w:sz w:val="20"/>
        </w:rPr>
        <w:t xml:space="preserve"> от педагогической и научной деятельности" и "</w:t>
      </w:r>
      <w:hyperlink w:history="0" r:id="rId16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Доход</w:t>
        </w:r>
      </w:hyperlink>
      <w:r>
        <w:rPr>
          <w:sz w:val="20"/>
        </w:rPr>
        <w:t xml:space="preserve"> от иной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pPr>
        <w:pStyle w:val="0"/>
        <w:ind w:firstLine="540"/>
        <w:jc w:val="both"/>
      </w:pPr>
      <w:r>
        <w:rPr>
          <w:sz w:val="20"/>
        </w:rPr>
      </w:r>
    </w:p>
    <w:p>
      <w:pPr>
        <w:pStyle w:val="2"/>
        <w:outlineLvl w:val="2"/>
        <w:ind w:firstLine="540"/>
        <w:jc w:val="both"/>
      </w:pPr>
      <w:r>
        <w:rPr>
          <w:sz w:val="20"/>
        </w:rPr>
        <w:t xml:space="preserve">Доход от вкладов в банках и иных кредитных организациях</w:t>
      </w:r>
    </w:p>
    <w:p>
      <w:pPr>
        <w:pStyle w:val="0"/>
        <w:spacing w:before="200" w:lineRule="auto"/>
        <w:ind w:firstLine="540"/>
        <w:jc w:val="both"/>
      </w:pPr>
      <w:r>
        <w:rPr>
          <w:sz w:val="20"/>
        </w:rPr>
        <w:t xml:space="preserve">70. В данной </w:t>
      </w:r>
      <w:hyperlink w:history="0" r:id="rId16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pPr>
        <w:pStyle w:val="0"/>
        <w:spacing w:before="200" w:lineRule="auto"/>
        <w:ind w:firstLine="540"/>
        <w:jc w:val="both"/>
      </w:pPr>
      <w:r>
        <w:rPr>
          <w:sz w:val="20"/>
        </w:rPr>
        <w:t xml:space="preserve">71. Сведения о наличии соответствующих банковских счетов и вкладов указываются в </w:t>
      </w:r>
      <w:hyperlink w:history="0" r:id="rId16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72. Доход, полученный в иностранной валюте, указывается в рублях по курсу Банка России на дату получения дохода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73. 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p>
    <w:p>
      <w:pPr>
        <w:pStyle w:val="0"/>
        <w:spacing w:before="200" w:lineRule="auto"/>
        <w:ind w:firstLine="540"/>
        <w:jc w:val="both"/>
      </w:pPr>
      <w:r>
        <w:rPr>
          <w:sz w:val="20"/>
        </w:rPr>
        <w:t xml:space="preserve">74. 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75. 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w:t>
      </w:r>
      <w:hyperlink w:history="0" r:id="rId16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формы</w:t>
        </w:r>
      </w:hyperlink>
      <w:r>
        <w:rPr>
          <w:sz w:val="20"/>
        </w:rPr>
        <w:t xml:space="preserve">, утвержденной Указанием Банка России N 5798-У (за исключением случаев, указанных в </w:t>
      </w:r>
      <w:hyperlink w:history="0" w:anchor="P325" w:tooltip="77.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
        <w:r>
          <w:rPr>
            <w:sz w:val="20"/>
            <w:color w:val="0000ff"/>
          </w:rPr>
          <w:t xml:space="preserve">пункте 77</w:t>
        </w:r>
      </w:hyperlink>
      <w:r>
        <w:rPr>
          <w:sz w:val="20"/>
        </w:rPr>
        <w:t xml:space="preserve"> и </w:t>
      </w:r>
      <w:hyperlink w:history="0" w:anchor="P416" w:tooltip="15) от продажи иностранной валюты (в том числе в случае наличия сведений о таких денежных средствах в информации, полученной в рамках Указания Банка России N 5798-У).">
        <w:r>
          <w:rPr>
            <w:sz w:val="20"/>
            <w:color w:val="0000ff"/>
          </w:rPr>
          <w:t xml:space="preserve">подпункте 15 пункта 86</w:t>
        </w:r>
      </w:hyperlink>
      <w:r>
        <w:rPr>
          <w:sz w:val="20"/>
        </w:rPr>
        <w:t xml:space="preserve"> настоящих Методических рекомендаций).</w:t>
      </w:r>
    </w:p>
    <w:p>
      <w:pPr>
        <w:pStyle w:val="0"/>
        <w:spacing w:before="200" w:lineRule="auto"/>
        <w:ind w:firstLine="540"/>
        <w:jc w:val="both"/>
      </w:pPr>
      <w:r>
        <w:rPr>
          <w:sz w:val="20"/>
        </w:rPr>
        <w:t xml:space="preserve">76. Рекомендуется хранить документы, связанные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w:t>
      </w:r>
      <w:hyperlink w:history="0" r:id="rId16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счет закрыт, кредитная организация может отказать в предоставлении информации, касающейся такого счета.</w:t>
      </w:r>
    </w:p>
    <w:bookmarkStart w:id="325" w:name="P325"/>
    <w:bookmarkEnd w:id="325"/>
    <w:p>
      <w:pPr>
        <w:pStyle w:val="0"/>
        <w:spacing w:before="200" w:lineRule="auto"/>
        <w:ind w:firstLine="540"/>
        <w:jc w:val="both"/>
      </w:pPr>
      <w:r>
        <w:rPr>
          <w:sz w:val="20"/>
        </w:rPr>
        <w:t xml:space="preserve">77. 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w:t>
      </w:r>
      <w:hyperlink w:history="0" r:id="rId16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w:t>
      </w:r>
      <w:hyperlink w:history="0" r:id="rId166"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такие сведения не отражаются в </w:t>
      </w:r>
      <w:hyperlink w:history="0" r:id="rId16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ind w:firstLine="540"/>
        <w:jc w:val="both"/>
      </w:pPr>
      <w:r>
        <w:rPr>
          <w:sz w:val="20"/>
        </w:rPr>
      </w:r>
    </w:p>
    <w:p>
      <w:pPr>
        <w:pStyle w:val="2"/>
        <w:outlineLvl w:val="2"/>
        <w:ind w:firstLine="540"/>
        <w:jc w:val="both"/>
      </w:pPr>
      <w:r>
        <w:rPr>
          <w:sz w:val="20"/>
        </w:rPr>
        <w:t xml:space="preserve">Доход от ценных бумаг и долей участия в коммерческих организациях</w:t>
      </w:r>
    </w:p>
    <w:p>
      <w:pPr>
        <w:pStyle w:val="0"/>
        <w:spacing w:before="200" w:lineRule="auto"/>
        <w:ind w:firstLine="540"/>
        <w:jc w:val="both"/>
      </w:pPr>
      <w:r>
        <w:rPr>
          <w:sz w:val="20"/>
        </w:rPr>
        <w:t xml:space="preserve">78. В данной </w:t>
      </w:r>
      <w:hyperlink w:history="0" r:id="rId16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pPr>
        <w:pStyle w:val="0"/>
        <w:spacing w:before="200" w:lineRule="auto"/>
        <w:ind w:firstLine="540"/>
        <w:jc w:val="both"/>
      </w:pPr>
      <w:r>
        <w:rPr>
          <w:sz w:val="20"/>
        </w:rPr>
        <w:t xml:space="preserve">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pPr>
        <w:pStyle w:val="0"/>
        <w:spacing w:before="200" w:lineRule="auto"/>
        <w:ind w:firstLine="540"/>
        <w:jc w:val="both"/>
      </w:pPr>
      <w:r>
        <w:rPr>
          <w:sz w:val="20"/>
        </w:rPr>
        <w:t xml:space="preserve">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w:t>
      </w:r>
      <w:hyperlink w:history="0" r:id="rId169" w:tooltip="&quot;Налоговый кодекс Российской Федерации (часть первая)&quot; от 31.07.1998 N 146-ФЗ (ред. от 17.04.2026) {КонсультантПлюс}">
        <w:r>
          <w:rPr>
            <w:sz w:val="20"/>
            <w:color w:val="0000ff"/>
          </w:rPr>
          <w:t xml:space="preserve">кодекса</w:t>
        </w:r>
      </w:hyperlink>
      <w:r>
        <w:rPr>
          <w:sz w:val="20"/>
        </w:rPr>
        <w:t xml:space="preserve"> Российской Федерации он не должен учитываться при расчете финансового результата в соответствии со </w:t>
      </w:r>
      <w:hyperlink w:history="0" r:id="rId170" w:tooltip="&quot;Налоговый кодекс Российской Федерации (часть вторая)&quot; от 05.08.2000 N 117-ФЗ (ред. от 25.05.2026) {КонсультантПлюс}">
        <w:r>
          <w:rPr>
            <w:sz w:val="20"/>
            <w:color w:val="0000ff"/>
          </w:rPr>
          <w:t xml:space="preserve">статьей 214.1</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3) дисконт, полученный в качестве дохода по облигациям;</w:t>
      </w:r>
    </w:p>
    <w:p>
      <w:pPr>
        <w:pStyle w:val="0"/>
        <w:spacing w:before="200" w:lineRule="auto"/>
        <w:ind w:firstLine="540"/>
        <w:jc w:val="both"/>
      </w:pPr>
      <w:r>
        <w:rPr>
          <w:sz w:val="20"/>
        </w:rPr>
        <w:t xml:space="preserve">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w:t>
      </w:r>
      <w:hyperlink w:history="0" r:id="rId171" w:tooltip="&quot;Налоговый кодекс Российской Федерации (часть вторая)&quot; от 05.08.2000 N 117-ФЗ (ред. от 25.05.2026) {КонсультантПлюс}">
        <w:r>
          <w:rPr>
            <w:sz w:val="20"/>
            <w:color w:val="0000ff"/>
          </w:rPr>
          <w:t xml:space="preserve">главой 23</w:t>
        </w:r>
      </w:hyperlink>
      <w:r>
        <w:rPr>
          <w:sz w:val="20"/>
        </w:rPr>
        <w:t xml:space="preserve"> Налогового кодекса Российской Федерации. Нулевой или отрицательный доход (нулевой или отрицательный финансовый результат) в </w:t>
      </w:r>
      <w:hyperlink w:history="0" r:id="rId17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Сами ценные бумаги указываются в </w:t>
      </w:r>
      <w:hyperlink w:history="0" r:id="rId17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(в случае если по состоянию на отчетную дату служащий (работник), член его семьи обладал такими бумагами). Рекомендуется учитывать содержание графы "Налоговая база" соответствующей Справки о доходах и суммах налога физического лица.</w:t>
      </w:r>
    </w:p>
    <w:p>
      <w:pPr>
        <w:pStyle w:val="0"/>
        <w:spacing w:before="200" w:lineRule="auto"/>
        <w:ind w:firstLine="540"/>
        <w:jc w:val="both"/>
      </w:pPr>
      <w:r>
        <w:rPr>
          <w:sz w:val="20"/>
        </w:rPr>
        <w:t xml:space="preserve">Доход от ценных бумаг и долей участия в коммерческих организациях указывается единым значением по совокупности соответствующих операций.</w:t>
      </w:r>
    </w:p>
    <w:p>
      <w:pPr>
        <w:pStyle w:val="0"/>
        <w:ind w:firstLine="540"/>
        <w:jc w:val="both"/>
      </w:pPr>
      <w:r>
        <w:rPr>
          <w:sz w:val="20"/>
        </w:rPr>
      </w:r>
    </w:p>
    <w:p>
      <w:pPr>
        <w:pStyle w:val="2"/>
        <w:outlineLvl w:val="2"/>
        <w:ind w:firstLine="540"/>
        <w:jc w:val="both"/>
      </w:pPr>
      <w:r>
        <w:rPr>
          <w:sz w:val="20"/>
        </w:rPr>
        <w:t xml:space="preserve">Иные доходы</w:t>
      </w:r>
    </w:p>
    <w:p>
      <w:pPr>
        <w:pStyle w:val="0"/>
        <w:spacing w:before="200" w:lineRule="auto"/>
        <w:ind w:firstLine="540"/>
        <w:jc w:val="both"/>
      </w:pPr>
      <w:r>
        <w:rPr>
          <w:sz w:val="20"/>
        </w:rPr>
        <w:t xml:space="preserve">79. В данной </w:t>
      </w:r>
      <w:hyperlink w:history="0" r:id="rId17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указываются выплаченные в отчетном периоде доходы, которые не были отражены в вышеуказанных строках </w:t>
      </w:r>
      <w:hyperlink w:history="0" r:id="rId17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Так, например, в </w:t>
      </w:r>
      <w:hyperlink w:history="0" r:id="rId17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могут быть указаны:</w:t>
      </w:r>
    </w:p>
    <w:p>
      <w:pPr>
        <w:pStyle w:val="0"/>
        <w:spacing w:before="200" w:lineRule="auto"/>
        <w:ind w:firstLine="540"/>
        <w:jc w:val="both"/>
      </w:pPr>
      <w:r>
        <w:rPr>
          <w:sz w:val="20"/>
        </w:rPr>
        <w:t xml:space="preserve">1) государственная и негосударственная пенсии (при этом разные виды пенсий (по возрасту и пенсия военнослужащего) не следует суммировать);</w:t>
      </w:r>
    </w:p>
    <w:p>
      <w:pPr>
        <w:pStyle w:val="0"/>
        <w:spacing w:before="200" w:lineRule="auto"/>
        <w:ind w:firstLine="540"/>
        <w:jc w:val="both"/>
      </w:pPr>
      <w:r>
        <w:rPr>
          <w:sz w:val="20"/>
        </w:rPr>
        <w:t xml:space="preserve">2) 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социального страхования Российской Федерации по месту нахождения пенсионного дела либо в органах социальной защиты субъекта Российской Федерации;</w:t>
      </w:r>
    </w:p>
    <w:p>
      <w:pPr>
        <w:pStyle w:val="0"/>
        <w:spacing w:before="200" w:lineRule="auto"/>
        <w:ind w:firstLine="540"/>
        <w:jc w:val="both"/>
      </w:pPr>
      <w:r>
        <w:rPr>
          <w:sz w:val="20"/>
        </w:rPr>
        <w:t xml:space="preserve">3) 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Справку о доходах и суммах налога физического лица, выдаваемую по месту службы (работы).</w:t>
      </w:r>
    </w:p>
    <w:p>
      <w:pPr>
        <w:pStyle w:val="0"/>
        <w:spacing w:before="200" w:lineRule="auto"/>
        <w:ind w:firstLine="540"/>
        <w:jc w:val="both"/>
      </w:pPr>
      <w:r>
        <w:rPr>
          <w:sz w:val="20"/>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w:t>
      </w:r>
      <w:hyperlink w:history="0" r:id="rId177" w:tooltip="Федеральный закон от 29.12.2006 N 255-ФЗ (ред. от 15.12.2025)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статья 3</w:t>
        </w:r>
      </w:hyperlink>
      <w:r>
        <w:rPr>
          <w:sz w:val="20"/>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pPr>
        <w:pStyle w:val="0"/>
        <w:spacing w:before="200" w:lineRule="auto"/>
        <w:ind w:firstLine="540"/>
        <w:jc w:val="both"/>
      </w:pPr>
      <w:r>
        <w:rPr>
          <w:sz w:val="20"/>
        </w:rPr>
        <w:t xml:space="preserve">4) 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pPr>
        <w:pStyle w:val="0"/>
        <w:spacing w:before="200" w:lineRule="auto"/>
        <w:ind w:firstLine="540"/>
        <w:jc w:val="both"/>
      </w:pPr>
      <w:r>
        <w:rPr>
          <w:sz w:val="20"/>
        </w:rPr>
        <w:t xml:space="preserve">5) суммы, причитающиеся ребенку в качестве алиментов (за исключением алиментов, выплачиваемых в браке, кроме случая, предусмотренного </w:t>
      </w:r>
      <w:hyperlink w:history="0" w:anchor="P186" w:tooltip="41.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41</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w:t>
      </w:r>
      <w:hyperlink w:history="0" r:id="rId17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w:t>
      </w:r>
      <w:hyperlink w:history="0" r:id="rId17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а сведения о счете - в </w:t>
      </w:r>
      <w:hyperlink w:history="0" r:id="rId18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6) стипендия;</w:t>
      </w:r>
    </w:p>
    <w:p>
      <w:pPr>
        <w:pStyle w:val="0"/>
        <w:spacing w:before="200" w:lineRule="auto"/>
        <w:ind w:firstLine="540"/>
        <w:jc w:val="both"/>
      </w:pPr>
      <w:r>
        <w:rPr>
          <w:sz w:val="20"/>
        </w:rPr>
        <w:t xml:space="preserve">7) единовременная субсидия на приобретение жилого помещения (в случае если в отчетном периоде денежные средства перечислены на банковский счет служащего (работника);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w:t>
      </w:r>
      <w:hyperlink w:history="0" r:id="rId18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w:t>
      </w:r>
      <w:hyperlink w:history="0" r:id="rId18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w:t>
      </w:r>
    </w:p>
    <w:p>
      <w:pPr>
        <w:pStyle w:val="0"/>
        <w:spacing w:before="200" w:lineRule="auto"/>
        <w:ind w:firstLine="540"/>
        <w:jc w:val="both"/>
      </w:pPr>
      <w:r>
        <w:rPr>
          <w:sz w:val="20"/>
        </w:rPr>
        <w:t xml:space="preserve">8) 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w:t>
      </w:r>
    </w:p>
    <w:p>
      <w:pPr>
        <w:pStyle w:val="0"/>
        <w:spacing w:before="200" w:lineRule="auto"/>
        <w:ind w:firstLine="540"/>
        <w:jc w:val="both"/>
      </w:pPr>
      <w:r>
        <w:rPr>
          <w:sz w:val="20"/>
        </w:rPr>
        <w:t xml:space="preserve">9) 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w:t>
      </w:r>
      <w:hyperlink w:history="0" w:anchor="P186" w:tooltip="41.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41</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pPr>
        <w:pStyle w:val="0"/>
        <w:spacing w:before="200" w:lineRule="auto"/>
        <w:ind w:firstLine="540"/>
        <w:jc w:val="both"/>
      </w:pPr>
      <w:r>
        <w:rPr>
          <w:sz w:val="20"/>
        </w:rPr>
        <w:t xml:space="preserve">Отражению подлежат также денежные средства, полученные от продажи, например, ранее купленного транспортного средства в течение отчетного периода.</w:t>
      </w:r>
    </w:p>
    <w:p>
      <w:pPr>
        <w:pStyle w:val="0"/>
        <w:spacing w:before="200" w:lineRule="auto"/>
        <w:ind w:firstLine="540"/>
        <w:jc w:val="both"/>
      </w:pPr>
      <w:r>
        <w:rPr>
          <w:sz w:val="20"/>
        </w:rP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w:t>
      </w:r>
      <w:hyperlink w:history="0" r:id="rId18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w:t>
      </w:r>
    </w:p>
    <w:p>
      <w:pPr>
        <w:pStyle w:val="0"/>
        <w:spacing w:before="200" w:lineRule="auto"/>
        <w:ind w:firstLine="540"/>
        <w:jc w:val="both"/>
      </w:pPr>
      <w:r>
        <w:rPr>
          <w:sz w:val="20"/>
        </w:rPr>
        <w:t xml:space="preserve">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pPr>
        <w:pStyle w:val="0"/>
        <w:spacing w:before="200" w:lineRule="auto"/>
        <w:ind w:firstLine="540"/>
        <w:jc w:val="both"/>
      </w:pPr>
      <w:r>
        <w:rPr>
          <w:sz w:val="20"/>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pPr>
        <w:pStyle w:val="0"/>
        <w:spacing w:before="200" w:lineRule="auto"/>
        <w:ind w:firstLine="540"/>
        <w:jc w:val="both"/>
      </w:pPr>
      <w:r>
        <w:rPr>
          <w:sz w:val="20"/>
        </w:rPr>
        <w:t xml:space="preserve">Аналогично в отношении продажи имущества, находящегося в совместной собственности;</w:t>
      </w:r>
    </w:p>
    <w:p>
      <w:pPr>
        <w:pStyle w:val="0"/>
        <w:spacing w:before="200" w:lineRule="auto"/>
        <w:ind w:firstLine="540"/>
        <w:jc w:val="both"/>
      </w:pPr>
      <w:r>
        <w:rPr>
          <w:sz w:val="20"/>
        </w:rPr>
        <w:t xml:space="preserve">10) доходы от продажи цифрового финансового актива, иных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pPr>
        <w:pStyle w:val="0"/>
        <w:spacing w:before="200" w:lineRule="auto"/>
        <w:ind w:firstLine="540"/>
        <w:jc w:val="both"/>
      </w:pPr>
      <w:r>
        <w:rPr>
          <w:sz w:val="20"/>
        </w:rPr>
        <w:t xml:space="preserve">11) 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w:t>
      </w:r>
    </w:p>
    <w:p>
      <w:pPr>
        <w:pStyle w:val="0"/>
        <w:spacing w:before="200" w:lineRule="auto"/>
        <w:ind w:firstLine="540"/>
        <w:jc w:val="both"/>
      </w:pPr>
      <w:r>
        <w:rPr>
          <w:sz w:val="20"/>
        </w:rPr>
        <w:t xml:space="preserve">12) денежные средства, полученные в виде процентов при погашении сберегательных сертификатов, если они не указаны в </w:t>
      </w:r>
      <w:hyperlink w:history="0" r:id="rId18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13) вознаграждения по гражданско-правовым договорам, если данный доход не указан в иных строках настоящего </w:t>
      </w:r>
      <w:hyperlink w:history="0" r:id="rId18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w:t>
        </w:r>
      </w:hyperlink>
      <w:r>
        <w:rPr>
          <w:sz w:val="20"/>
        </w:rPr>
        <w:t xml:space="preserve">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w:t>
      </w:r>
    </w:p>
    <w:p>
      <w:pPr>
        <w:pStyle w:val="0"/>
        <w:spacing w:before="200" w:lineRule="auto"/>
        <w:ind w:firstLine="540"/>
        <w:jc w:val="both"/>
      </w:pPr>
      <w:r>
        <w:rPr>
          <w:sz w:val="20"/>
        </w:rPr>
        <w:t xml:space="preserve">14)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w:t>
      </w:r>
      <w:hyperlink w:history="0" r:id="rId18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"Иное недвижимое имущество" подраздела 3.1 раздела 3 справки);</w:t>
      </w:r>
    </w:p>
    <w:p>
      <w:pPr>
        <w:pStyle w:val="0"/>
        <w:spacing w:before="200" w:lineRule="auto"/>
        <w:ind w:firstLine="540"/>
        <w:jc w:val="both"/>
      </w:pPr>
      <w:r>
        <w:rPr>
          <w:sz w:val="20"/>
        </w:rPr>
        <w:t xml:space="preserve">15) проценты по долговым обязательствам;</w:t>
      </w:r>
    </w:p>
    <w:p>
      <w:pPr>
        <w:pStyle w:val="0"/>
        <w:spacing w:before="200" w:lineRule="auto"/>
        <w:ind w:firstLine="540"/>
        <w:jc w:val="both"/>
      </w:pPr>
      <w:r>
        <w:rPr>
          <w:sz w:val="20"/>
        </w:rPr>
        <w:t xml:space="preserve">16) 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pPr>
        <w:pStyle w:val="0"/>
        <w:spacing w:before="200" w:lineRule="auto"/>
        <w:ind w:firstLine="540"/>
        <w:jc w:val="both"/>
      </w:pPr>
      <w:r>
        <w:rPr>
          <w:sz w:val="20"/>
        </w:rPr>
        <w:t xml:space="preserve">17) возмещение вреда, причиненного увечьем или иным повреждением здоровья;</w:t>
      </w:r>
    </w:p>
    <w:p>
      <w:pPr>
        <w:pStyle w:val="0"/>
        <w:spacing w:before="200" w:lineRule="auto"/>
        <w:ind w:firstLine="540"/>
        <w:jc w:val="both"/>
      </w:pPr>
      <w:r>
        <w:rPr>
          <w:sz w:val="20"/>
        </w:rPr>
        <w:t xml:space="preserve">18) выплаты, связанные с гибелью (смертью), выплаченные наследникам;</w:t>
      </w:r>
    </w:p>
    <w:p>
      <w:pPr>
        <w:pStyle w:val="0"/>
        <w:spacing w:before="200" w:lineRule="auto"/>
        <w:ind w:firstLine="540"/>
        <w:jc w:val="both"/>
      </w:pPr>
      <w:r>
        <w:rPr>
          <w:sz w:val="20"/>
        </w:rPr>
        <w:t xml:space="preserve">19) выплаты денежных сумм, осуществленные на основании договоров страхования. При этом в отношении договоров страхования, поименованных в </w:t>
      </w:r>
      <w:hyperlink w:history="0" w:anchor="P828"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0"/>
            <w:color w:val="0000ff"/>
          </w:rPr>
          <w:t xml:space="preserve">подпункте 3 пункта 217</w:t>
        </w:r>
      </w:hyperlink>
      <w:r>
        <w:rPr>
          <w:sz w:val="20"/>
        </w:rPr>
        <w:t xml:space="preserve">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(в том числе денежными компенсациями, предусмотренными договорами долевого страхования жизни) и уплаченными страховыми премиями (взносами) (в отношении каждого договора отдельно));</w:t>
      </w:r>
    </w:p>
    <w:p>
      <w:pPr>
        <w:pStyle w:val="0"/>
        <w:spacing w:before="200" w:lineRule="auto"/>
        <w:ind w:firstLine="540"/>
        <w:jc w:val="both"/>
      </w:pPr>
      <w:r>
        <w:rPr>
          <w:sz w:val="20"/>
        </w:rPr>
        <w:t xml:space="preserve">20) 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Справку о доходах и суммах налога физического лица по месту службы (работы) и не отражены в </w:t>
      </w:r>
      <w:hyperlink w:history="0" r:id="rId18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по основному месту работы";</w:t>
      </w:r>
    </w:p>
    <w:p>
      <w:pPr>
        <w:pStyle w:val="0"/>
        <w:spacing w:before="200" w:lineRule="auto"/>
        <w:ind w:firstLine="540"/>
        <w:jc w:val="both"/>
      </w:pPr>
      <w:r>
        <w:rPr>
          <w:sz w:val="20"/>
        </w:rPr>
        <w:t xml:space="preserve">21) 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w:t>
      </w:r>
      <w:hyperlink w:history="0" r:id="rId18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spacing w:before="200" w:lineRule="auto"/>
        <w:ind w:firstLine="540"/>
        <w:jc w:val="both"/>
      </w:pPr>
      <w:r>
        <w:rPr>
          <w:sz w:val="20"/>
        </w:rPr>
        <w:t xml:space="preserve">22) 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w:t>
      </w:r>
    </w:p>
    <w:p>
      <w:pPr>
        <w:pStyle w:val="0"/>
        <w:spacing w:before="200" w:lineRule="auto"/>
        <w:ind w:firstLine="540"/>
        <w:jc w:val="both"/>
      </w:pPr>
      <w:r>
        <w:rPr>
          <w:sz w:val="20"/>
        </w:rPr>
        <w:t xml:space="preserve">23) 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pPr>
        <w:pStyle w:val="0"/>
        <w:spacing w:before="200" w:lineRule="auto"/>
        <w:ind w:firstLine="540"/>
        <w:jc w:val="both"/>
      </w:pPr>
      <w:r>
        <w:rPr>
          <w:sz w:val="20"/>
        </w:rPr>
        <w:t xml:space="preserve">24) меры государственной поддержки семей, имеющих детей, в целях создания условий для погашения обязательств по ипотечным жилищным кредитам (займам);</w:t>
      </w:r>
    </w:p>
    <w:p>
      <w:pPr>
        <w:pStyle w:val="0"/>
        <w:spacing w:before="200" w:lineRule="auto"/>
        <w:ind w:firstLine="540"/>
        <w:jc w:val="both"/>
      </w:pPr>
      <w:r>
        <w:rPr>
          <w:sz w:val="20"/>
        </w:rPr>
        <w:t xml:space="preserve">25) 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pPr>
        <w:pStyle w:val="0"/>
        <w:spacing w:before="200" w:lineRule="auto"/>
        <w:ind w:firstLine="540"/>
        <w:jc w:val="both"/>
      </w:pPr>
      <w:r>
        <w:rPr>
          <w:sz w:val="20"/>
        </w:rPr>
        <w:t xml:space="preserve">26) 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pPr>
        <w:pStyle w:val="0"/>
        <w:spacing w:before="200" w:lineRule="auto"/>
        <w:ind w:firstLine="540"/>
        <w:jc w:val="both"/>
      </w:pPr>
      <w:r>
        <w:rPr>
          <w:sz w:val="20"/>
        </w:rPr>
        <w:t xml:space="preserve">27) выплаты членам профсоюзных организаций, полученные от данных профсоюзных организаций;</w:t>
      </w:r>
    </w:p>
    <w:p>
      <w:pPr>
        <w:pStyle w:val="0"/>
        <w:spacing w:before="200" w:lineRule="auto"/>
        <w:ind w:firstLine="540"/>
        <w:jc w:val="both"/>
      </w:pPr>
      <w:r>
        <w:rPr>
          <w:sz w:val="20"/>
        </w:rPr>
        <w:t xml:space="preserve">28) 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w:t>
      </w:r>
      <w:hyperlink w:history="0" r:id="rId18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педагогической и научной деятельности", результаты иной творческой деятельности - в </w:t>
      </w:r>
      <w:hyperlink w:history="0" r:id="rId19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"Доход от иной творческой деятельности";</w:t>
      </w:r>
    </w:p>
    <w:p>
      <w:pPr>
        <w:pStyle w:val="0"/>
        <w:spacing w:before="200" w:lineRule="auto"/>
        <w:ind w:firstLine="540"/>
        <w:jc w:val="both"/>
      </w:pPr>
      <w:r>
        <w:rPr>
          <w:sz w:val="20"/>
        </w:rPr>
        <w:t xml:space="preserve">29) вознаграждение, полученное при осуществлении опеки или попечительства на возмездной основе;</w:t>
      </w:r>
    </w:p>
    <w:p>
      <w:pPr>
        <w:pStyle w:val="0"/>
        <w:spacing w:before="200" w:lineRule="auto"/>
        <w:ind w:firstLine="540"/>
        <w:jc w:val="both"/>
      </w:pPr>
      <w:r>
        <w:rPr>
          <w:sz w:val="20"/>
        </w:rPr>
        <w:t xml:space="preserve">30) доход, полученный индивидуальным предпринимателем (указывается согласно бухгалтерской (финансовой) отчетности или в соответствии с </w:t>
      </w:r>
      <w:hyperlink w:history="0" w:anchor="P299" w:tooltip="62. Представление Сведений в отношении лица, зарегистрированного в качестве индивидуального предпринимателя, применяющего специальные налоговые режимы:">
        <w:r>
          <w:rPr>
            <w:sz w:val="20"/>
            <w:color w:val="0000ff"/>
          </w:rPr>
          <w:t xml:space="preserve">пунктом 62</w:t>
        </w:r>
      </w:hyperlink>
      <w:r>
        <w:rPr>
          <w:sz w:val="20"/>
        </w:rPr>
        <w:t xml:space="preserve"> настоящих Методических рекомендаций);</w:t>
      </w:r>
    </w:p>
    <w:p>
      <w:pPr>
        <w:pStyle w:val="0"/>
        <w:spacing w:before="200" w:lineRule="auto"/>
        <w:ind w:firstLine="540"/>
        <w:jc w:val="both"/>
      </w:pPr>
      <w:r>
        <w:rPr>
          <w:sz w:val="20"/>
        </w:rPr>
        <w:t xml:space="preserve">31) 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о доходах и суммах налога физического лица, полученную по основному месту службы (работы);</w:t>
      </w:r>
    </w:p>
    <w:p>
      <w:pPr>
        <w:pStyle w:val="0"/>
        <w:spacing w:before="200" w:lineRule="auto"/>
        <w:ind w:firstLine="540"/>
        <w:jc w:val="both"/>
      </w:pPr>
      <w:r>
        <w:rPr>
          <w:sz w:val="20"/>
        </w:rPr>
        <w:t xml:space="preserve">32) денежные средства, полученные в качестве оплаты услуг или товаров, в том числе в качестве авансового платежа;</w:t>
      </w:r>
    </w:p>
    <w:p>
      <w:pPr>
        <w:pStyle w:val="0"/>
        <w:spacing w:before="200" w:lineRule="auto"/>
        <w:ind w:firstLine="540"/>
        <w:jc w:val="both"/>
      </w:pPr>
      <w:r>
        <w:rPr>
          <w:sz w:val="20"/>
        </w:rPr>
        <w:t xml:space="preserve">33) 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pPr>
        <w:pStyle w:val="0"/>
        <w:spacing w:before="200" w:lineRule="auto"/>
        <w:ind w:firstLine="540"/>
        <w:jc w:val="both"/>
      </w:pPr>
      <w:r>
        <w:rPr>
          <w:sz w:val="20"/>
        </w:rPr>
        <w:t xml:space="preserve">34) денежные средства, полученные от родственников (за исключением супруги (супруга) и несовершеннолетних детей кроме случая, предусмотренного </w:t>
      </w:r>
      <w:hyperlink w:history="0" w:anchor="P186" w:tooltip="41. 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quot;б&quot;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
        <w:r>
          <w:rPr>
            <w:sz w:val="20"/>
            <w:color w:val="0000ff"/>
          </w:rPr>
          <w:t xml:space="preserve">пунктом 41</w:t>
        </w:r>
      </w:hyperlink>
      <w:r>
        <w:rPr>
          <w:sz w:val="20"/>
        </w:rPr>
        <w:t xml:space="preserve">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pPr>
        <w:pStyle w:val="0"/>
        <w:spacing w:before="200" w:lineRule="auto"/>
        <w:ind w:firstLine="540"/>
        <w:jc w:val="both"/>
      </w:pPr>
      <w:r>
        <w:rPr>
          <w:sz w:val="20"/>
        </w:rPr>
        <w:t xml:space="preserve">35) доход, полученный по договорам переуступки прав требования на строящиеся объекты недвижимости;</w:t>
      </w:r>
    </w:p>
    <w:p>
      <w:pPr>
        <w:pStyle w:val="0"/>
        <w:spacing w:before="200" w:lineRule="auto"/>
        <w:ind w:firstLine="540"/>
        <w:jc w:val="both"/>
      </w:pPr>
      <w:r>
        <w:rPr>
          <w:sz w:val="20"/>
        </w:rPr>
        <w:t xml:space="preserve">36) 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pPr>
        <w:pStyle w:val="0"/>
        <w:spacing w:before="200" w:lineRule="auto"/>
        <w:ind w:firstLine="540"/>
        <w:jc w:val="both"/>
      </w:pPr>
      <w:r>
        <w:rPr>
          <w:sz w:val="20"/>
        </w:rPr>
        <w:t xml:space="preserve">37) выплаченная ликвидационная стоимость ценных бумаг при ликвидации коммерческой организации;</w:t>
      </w:r>
    </w:p>
    <w:p>
      <w:pPr>
        <w:pStyle w:val="0"/>
        <w:spacing w:before="200" w:lineRule="auto"/>
        <w:ind w:firstLine="540"/>
        <w:jc w:val="both"/>
      </w:pPr>
      <w:r>
        <w:rPr>
          <w:sz w:val="20"/>
        </w:rPr>
        <w:t xml:space="preserve">38) 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pPr>
        <w:pStyle w:val="0"/>
        <w:spacing w:before="200" w:lineRule="auto"/>
        <w:ind w:firstLine="540"/>
        <w:jc w:val="both"/>
      </w:pPr>
      <w:r>
        <w:rPr>
          <w:sz w:val="20"/>
        </w:rPr>
        <w:t xml:space="preserve">39) 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w:t>
      </w:r>
      <w:hyperlink w:history="0" r:id="rId191" w:tooltip="&quot;Налоговый кодекс Российской Федерации (часть вторая)&quot; от 05.08.2000 N 117-ФЗ (ред. от 25.05.2026) {КонсультантПлюс}">
        <w:r>
          <w:rPr>
            <w:sz w:val="20"/>
            <w:color w:val="0000ff"/>
          </w:rPr>
          <w:t xml:space="preserve">главой 23</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40) иные аналогичные выплаты.</w:t>
      </w:r>
    </w:p>
    <w:p>
      <w:pPr>
        <w:pStyle w:val="0"/>
        <w:spacing w:before="200" w:lineRule="auto"/>
        <w:ind w:firstLine="540"/>
        <w:jc w:val="both"/>
      </w:pPr>
      <w:r>
        <w:rPr>
          <w:sz w:val="20"/>
        </w:rPr>
        <w:t xml:space="preserve">80. Также в </w:t>
      </w:r>
      <w:hyperlink w:history="0" r:id="rId19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pPr>
        <w:pStyle w:val="0"/>
        <w:spacing w:before="200" w:lineRule="auto"/>
        <w:ind w:firstLine="540"/>
        <w:jc w:val="both"/>
      </w:pPr>
      <w:r>
        <w:rPr>
          <w:sz w:val="20"/>
        </w:rPr>
        <w:t xml:space="preserve">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pPr>
        <w:pStyle w:val="0"/>
        <w:spacing w:before="200" w:lineRule="auto"/>
        <w:ind w:firstLine="540"/>
        <w:jc w:val="both"/>
      </w:pPr>
      <w:r>
        <w:rPr>
          <w:sz w:val="20"/>
        </w:rPr>
        <w:t xml:space="preserve">81. Доход, полученный в иностранной валюте, указывается в рублях по курсу Банка России на дату получения дохода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82. </w:t>
      </w:r>
      <w:hyperlink w:history="0" r:id="rId19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Формой</w:t>
        </w:r>
      </w:hyperlink>
      <w:r>
        <w:rPr>
          <w:sz w:val="20"/>
        </w:rPr>
        <w:t xml:space="preserve">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w:t>
      </w:r>
    </w:p>
    <w:p>
      <w:pPr>
        <w:pStyle w:val="0"/>
        <w:spacing w:before="200" w:lineRule="auto"/>
        <w:ind w:firstLine="540"/>
        <w:jc w:val="both"/>
      </w:pPr>
      <w:r>
        <w:rPr>
          <w:sz w:val="20"/>
        </w:rPr>
        <w:t xml:space="preserve">83. Исключением является, например,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w:t>
      </w:r>
      <w:hyperlink w:history="0" r:id="rId19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3.5 раздела 3</w:t>
        </w:r>
      </w:hyperlink>
      <w:r>
        <w:rPr>
          <w:sz w:val="20"/>
        </w:rPr>
        <w:t xml:space="preserve"> справки.</w:t>
      </w:r>
    </w:p>
    <w:p>
      <w:pPr>
        <w:pStyle w:val="0"/>
        <w:spacing w:before="200" w:lineRule="auto"/>
        <w:ind w:firstLine="540"/>
        <w:jc w:val="both"/>
      </w:pPr>
      <w:r>
        <w:rPr>
          <w:sz w:val="20"/>
        </w:rPr>
        <w:t xml:space="preserve">84. С учетом целей антикоррупционного законодательства в </w:t>
      </w:r>
      <w:hyperlink w:history="0" r:id="rId19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pPr>
        <w:pStyle w:val="0"/>
        <w:spacing w:before="200" w:lineRule="auto"/>
        <w:ind w:firstLine="540"/>
        <w:jc w:val="both"/>
      </w:pPr>
      <w:r>
        <w:rPr>
          <w:sz w:val="20"/>
        </w:rPr>
        <w:t xml:space="preserve">1) со служебными командировками за счет средств работодателя;</w:t>
      </w:r>
    </w:p>
    <w:p>
      <w:pPr>
        <w:pStyle w:val="0"/>
        <w:spacing w:before="200" w:lineRule="auto"/>
        <w:ind w:firstLine="540"/>
        <w:jc w:val="both"/>
      </w:pPr>
      <w:r>
        <w:rPr>
          <w:sz w:val="20"/>
        </w:rPr>
        <w:t xml:space="preserve">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pPr>
        <w:pStyle w:val="0"/>
        <w:spacing w:before="200" w:lineRule="auto"/>
        <w:ind w:firstLine="540"/>
        <w:jc w:val="both"/>
      </w:pPr>
      <w:r>
        <w:rPr>
          <w:sz w:val="20"/>
        </w:rPr>
        <w:t xml:space="preserve">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(работником), назначенным в порядке ротации в орган, расположенный в другой местности в пределах Российской Федерации;</w:t>
      </w:r>
    </w:p>
    <w:p>
      <w:pPr>
        <w:pStyle w:val="0"/>
        <w:spacing w:before="200" w:lineRule="auto"/>
        <w:ind w:firstLine="540"/>
        <w:jc w:val="both"/>
      </w:pPr>
      <w:r>
        <w:rPr>
          <w:sz w:val="20"/>
        </w:rPr>
        <w:t xml:space="preserve">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pPr>
        <w:pStyle w:val="0"/>
        <w:spacing w:before="200" w:lineRule="auto"/>
        <w:ind w:firstLine="540"/>
        <w:jc w:val="both"/>
      </w:pPr>
      <w:r>
        <w:rPr>
          <w:sz w:val="20"/>
        </w:rPr>
        <w:t xml:space="preserve">5) с приобретением проездных документов для исполнения служебных (должностных) обязанностей;</w:t>
      </w:r>
    </w:p>
    <w:p>
      <w:pPr>
        <w:pStyle w:val="0"/>
        <w:spacing w:before="200" w:lineRule="auto"/>
        <w:ind w:firstLine="540"/>
        <w:jc w:val="both"/>
      </w:pPr>
      <w:r>
        <w:rPr>
          <w:sz w:val="20"/>
        </w:rPr>
        <w:t xml:space="preserve">6) с оплатой коммунальных и иных услуг, наймом жилого помещения;</w:t>
      </w:r>
    </w:p>
    <w:p>
      <w:pPr>
        <w:pStyle w:val="0"/>
        <w:spacing w:before="200" w:lineRule="auto"/>
        <w:ind w:firstLine="540"/>
        <w:jc w:val="both"/>
      </w:pPr>
      <w:r>
        <w:rPr>
          <w:sz w:val="20"/>
        </w:rPr>
        <w:t xml:space="preserve">7) с внесением родительской платы за посещение дошкольного образовательного учреждения;</w:t>
      </w:r>
    </w:p>
    <w:p>
      <w:pPr>
        <w:pStyle w:val="0"/>
        <w:spacing w:before="200" w:lineRule="auto"/>
        <w:ind w:firstLine="540"/>
        <w:jc w:val="both"/>
      </w:pPr>
      <w:r>
        <w:rPr>
          <w:sz w:val="20"/>
        </w:rPr>
        <w:t xml:space="preserve">8) с оформлением нотариальной доверенности, почтовыми расходами, расходами на оплату услуг представителя (возмещаются по решению суда).</w:t>
      </w:r>
    </w:p>
    <w:p>
      <w:pPr>
        <w:pStyle w:val="0"/>
        <w:spacing w:before="200" w:lineRule="auto"/>
        <w:ind w:firstLine="540"/>
        <w:jc w:val="both"/>
      </w:pPr>
      <w:r>
        <w:rPr>
          <w:sz w:val="20"/>
        </w:rPr>
        <w:t xml:space="preserve">85. 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pPr>
        <w:pStyle w:val="0"/>
        <w:spacing w:before="200" w:lineRule="auto"/>
        <w:ind w:firstLine="540"/>
        <w:jc w:val="both"/>
      </w:pPr>
      <w:r>
        <w:rPr>
          <w:sz w:val="20"/>
        </w:rPr>
        <w:t xml:space="preserve">86. Также не указываются сведения о денежных средствах, полученных:</w:t>
      </w:r>
    </w:p>
    <w:p>
      <w:pPr>
        <w:pStyle w:val="0"/>
        <w:spacing w:before="200" w:lineRule="auto"/>
        <w:ind w:firstLine="540"/>
        <w:jc w:val="both"/>
      </w:pPr>
      <w:r>
        <w:rPr>
          <w:sz w:val="20"/>
        </w:rPr>
        <w:t xml:space="preserve">1) в виде социального, имущественного, инвестиционного налогового вычета;</w:t>
      </w:r>
    </w:p>
    <w:p>
      <w:pPr>
        <w:pStyle w:val="0"/>
        <w:spacing w:before="200" w:lineRule="auto"/>
        <w:ind w:firstLine="540"/>
        <w:jc w:val="both"/>
      </w:pPr>
      <w:r>
        <w:rPr>
          <w:sz w:val="20"/>
        </w:rPr>
        <w:t xml:space="preserve">2) от продажи различного вида подарочных сертификатов (карт), выпущенных предприятиями торговли, салонами красоты и пр.;</w:t>
      </w:r>
    </w:p>
    <w:p>
      <w:pPr>
        <w:pStyle w:val="0"/>
        <w:spacing w:before="200" w:lineRule="auto"/>
        <w:ind w:firstLine="540"/>
        <w:jc w:val="both"/>
      </w:pPr>
      <w:r>
        <w:rPr>
          <w:sz w:val="20"/>
        </w:rPr>
        <w:t xml:space="preserve">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w:t>
      </w:r>
    </w:p>
    <w:p>
      <w:pPr>
        <w:pStyle w:val="0"/>
        <w:spacing w:before="200" w:lineRule="auto"/>
        <w:ind w:firstLine="540"/>
        <w:jc w:val="both"/>
      </w:pPr>
      <w:r>
        <w:rPr>
          <w:sz w:val="20"/>
        </w:rPr>
        <w:t xml:space="preserve">4) в виде материальной выгоды, предусмотренной </w:t>
      </w:r>
      <w:hyperlink w:history="0" r:id="rId196" w:tooltip="&quot;Налоговый кодекс Российской Федерации (часть вторая)&quot; от 05.08.2000 N 117-ФЗ (ред. от 25.05.2026) {КонсультантПлюс}">
        <w:r>
          <w:rPr>
            <w:sz w:val="20"/>
            <w:color w:val="0000ff"/>
          </w:rPr>
          <w:t xml:space="preserve">статьей 212</w:t>
        </w:r>
      </w:hyperlink>
      <w:r>
        <w:rPr>
          <w:sz w:val="20"/>
        </w:rPr>
        <w:t xml:space="preserve">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pPr>
        <w:pStyle w:val="0"/>
        <w:spacing w:before="200" w:lineRule="auto"/>
        <w:ind w:firstLine="540"/>
        <w:jc w:val="both"/>
      </w:pPr>
      <w:r>
        <w:rPr>
          <w:sz w:val="20"/>
        </w:rPr>
        <w:t xml:space="preserve">5) в качестве возврата налога на добавленную стоимость, уплаченного при совершении покупок за границей, по чекам Tax-free;</w:t>
      </w:r>
    </w:p>
    <w:p>
      <w:pPr>
        <w:pStyle w:val="0"/>
        <w:spacing w:before="200" w:lineRule="auto"/>
        <w:ind w:firstLine="540"/>
        <w:jc w:val="both"/>
      </w:pPr>
      <w:r>
        <w:rPr>
          <w:sz w:val="20"/>
        </w:rPr>
        <w:t xml:space="preserve">6) в качестве вознаграждения донорам за сданную кровь, ее компонентов (и иную помощь);</w:t>
      </w:r>
    </w:p>
    <w:p>
      <w:pPr>
        <w:pStyle w:val="0"/>
        <w:spacing w:before="200" w:lineRule="auto"/>
        <w:ind w:firstLine="540"/>
        <w:jc w:val="both"/>
      </w:pPr>
      <w:r>
        <w:rPr>
          <w:sz w:val="20"/>
        </w:rPr>
        <w:t xml:space="preserve">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w:t>
      </w:r>
      <w:hyperlink w:history="0" r:id="rId19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8) в качестве возмещения расходов на повышение профессионального уровня за счет средств представителя нанимателя (работодателя);</w:t>
      </w:r>
    </w:p>
    <w:p>
      <w:pPr>
        <w:pStyle w:val="0"/>
        <w:spacing w:before="200" w:lineRule="auto"/>
        <w:ind w:firstLine="540"/>
        <w:jc w:val="both"/>
      </w:pPr>
      <w:r>
        <w:rPr>
          <w:sz w:val="20"/>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w:t>
      </w:r>
    </w:p>
    <w:p>
      <w:pPr>
        <w:pStyle w:val="0"/>
        <w:spacing w:before="200" w:lineRule="auto"/>
        <w:ind w:firstLine="540"/>
        <w:jc w:val="both"/>
      </w:pPr>
      <w:r>
        <w:rPr>
          <w:sz w:val="20"/>
        </w:rPr>
        <w:t xml:space="preserve">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pPr>
        <w:pStyle w:val="0"/>
        <w:spacing w:before="200" w:lineRule="auto"/>
        <w:ind w:firstLine="540"/>
        <w:jc w:val="both"/>
      </w:pPr>
      <w:r>
        <w:rPr>
          <w:sz w:val="20"/>
        </w:rPr>
        <w:t xml:space="preserve">11) в связи с возвратом денежных средств по несостоявшемуся договору купли-продажи;</w:t>
      </w:r>
    </w:p>
    <w:p>
      <w:pPr>
        <w:pStyle w:val="0"/>
        <w:spacing w:before="200" w:lineRule="auto"/>
        <w:ind w:firstLine="540"/>
        <w:jc w:val="both"/>
      </w:pPr>
      <w:r>
        <w:rPr>
          <w:sz w:val="20"/>
        </w:rPr>
        <w:t xml:space="preserve">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pPr>
        <w:pStyle w:val="0"/>
        <w:spacing w:before="200" w:lineRule="auto"/>
        <w:ind w:firstLine="540"/>
        <w:jc w:val="both"/>
      </w:pPr>
      <w:r>
        <w:rPr>
          <w:sz w:val="20"/>
        </w:rPr>
        <w:t xml:space="preserve">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pPr>
        <w:pStyle w:val="0"/>
        <w:spacing w:before="200" w:lineRule="auto"/>
        <w:ind w:firstLine="540"/>
        <w:jc w:val="both"/>
      </w:pPr>
      <w:r>
        <w:rPr>
          <w:sz w:val="20"/>
        </w:rPr>
        <w:t xml:space="preserve">14) на специальный избирательный счет в соответствии с Федеральным </w:t>
      </w:r>
      <w:hyperlink w:history="0" r:id="rId198" w:tooltip="Федеральный закон от 12.06.2002 N 67-ФЗ (ред. от 02.05.2026)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bookmarkStart w:id="416" w:name="P416"/>
    <w:bookmarkEnd w:id="416"/>
    <w:p>
      <w:pPr>
        <w:pStyle w:val="0"/>
        <w:spacing w:before="200" w:lineRule="auto"/>
        <w:ind w:firstLine="540"/>
        <w:jc w:val="both"/>
      </w:pPr>
      <w:r>
        <w:rPr>
          <w:sz w:val="20"/>
        </w:rPr>
        <w:t xml:space="preserve">15) от продажи иностранной валюты (в том числе в случае наличия сведений о таких денежных средствах в информации, полученной в рамках </w:t>
      </w:r>
      <w:hyperlink w:history="0" r:id="rId199"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87. Социальная поддержка молодежи в возрасте от 14 до 22 лет для повышения доступности организаций культуры (т.н. "Пушкинская карта") не подлежит отражению в </w:t>
      </w:r>
      <w:hyperlink w:history="0" r:id="rId20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w:t>
      </w:r>
    </w:p>
    <w:p>
      <w:pPr>
        <w:pStyle w:val="0"/>
        <w:spacing w:before="200" w:lineRule="auto"/>
        <w:ind w:firstLine="540"/>
        <w:jc w:val="both"/>
      </w:pPr>
      <w:r>
        <w:rPr>
          <w:sz w:val="20"/>
        </w:rPr>
        <w:t xml:space="preserve">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w:t>
      </w:r>
      <w:hyperlink w:history="0" r:id="rId20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w:t>
      </w:r>
    </w:p>
    <w:p>
      <w:pPr>
        <w:pStyle w:val="0"/>
        <w:spacing w:before="200" w:lineRule="auto"/>
        <w:ind w:firstLine="540"/>
        <w:jc w:val="both"/>
      </w:pPr>
      <w:r>
        <w:rPr>
          <w:sz w:val="20"/>
        </w:rPr>
        <w:t xml:space="preserve">88. 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pPr>
        <w:pStyle w:val="0"/>
        <w:jc w:val="both"/>
      </w:pPr>
      <w:r>
        <w:rPr>
          <w:sz w:val="20"/>
        </w:rPr>
      </w:r>
    </w:p>
    <w:p>
      <w:pPr>
        <w:pStyle w:val="2"/>
        <w:outlineLvl w:val="1"/>
        <w:jc w:val="center"/>
      </w:pPr>
      <w:hyperlink w:history="0" r:id="rId20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2</w:t>
        </w:r>
      </w:hyperlink>
      <w:r>
        <w:rPr>
          <w:sz w:val="20"/>
        </w:rPr>
        <w:t xml:space="preserve">. СВЕДЕНИЯ О РАСХОДАХ</w:t>
      </w:r>
    </w:p>
    <w:p>
      <w:pPr>
        <w:pStyle w:val="0"/>
        <w:jc w:val="both"/>
      </w:pPr>
      <w:r>
        <w:rPr>
          <w:sz w:val="20"/>
        </w:rPr>
      </w:r>
    </w:p>
    <w:p>
      <w:pPr>
        <w:pStyle w:val="2"/>
        <w:outlineLvl w:val="2"/>
        <w:ind w:firstLine="540"/>
        <w:jc w:val="both"/>
      </w:pPr>
      <w:r>
        <w:rPr>
          <w:sz w:val="20"/>
        </w:rPr>
        <w:t xml:space="preserve">Основные положения</w:t>
      </w:r>
    </w:p>
    <w:bookmarkStart w:id="424" w:name="P424"/>
    <w:bookmarkEnd w:id="424"/>
    <w:p>
      <w:pPr>
        <w:pStyle w:val="0"/>
        <w:spacing w:before="200" w:lineRule="auto"/>
        <w:ind w:firstLine="540"/>
        <w:jc w:val="both"/>
      </w:pPr>
      <w:r>
        <w:rPr>
          <w:sz w:val="20"/>
        </w:rPr>
        <w:t xml:space="preserve">89. Сведения о расходах представляются при наличии оснований, предусмотренных Федеральным </w:t>
      </w:r>
      <w:hyperlink w:history="0" r:id="rId203"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 т.е.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его супруги (супруга) и несовершеннолетних детей за три последних года, предшествующих отчетному периоду. При представлении Сведений в 2026 году сообщаются сведения о расходах по сделкам, совершенным в 2025 году.</w:t>
      </w:r>
    </w:p>
    <w:p>
      <w:pPr>
        <w:pStyle w:val="0"/>
        <w:spacing w:before="200" w:lineRule="auto"/>
        <w:ind w:firstLine="540"/>
        <w:jc w:val="both"/>
      </w:pPr>
      <w:r>
        <w:rPr>
          <w:sz w:val="20"/>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сведения о расходах представляются посредством заполнения </w:t>
      </w:r>
      <w:hyperlink w:history="0" r:id="rId20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2</w:t>
        </w:r>
      </w:hyperlink>
      <w:r>
        <w:rPr>
          <w:sz w:val="20"/>
        </w:rPr>
        <w:t xml:space="preserve"> в справках обоих лиц (аналогично в отношении несовершеннолетних детей). При этом в </w:t>
      </w:r>
      <w:hyperlink w:history="0" r:id="rId20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сделки" применимых справок рекомендуется указывать полную стоимость.</w:t>
      </w:r>
    </w:p>
    <w:p>
      <w:pPr>
        <w:pStyle w:val="0"/>
        <w:spacing w:before="200" w:lineRule="auto"/>
        <w:ind w:firstLine="540"/>
        <w:jc w:val="both"/>
      </w:pPr>
      <w:r>
        <w:rPr>
          <w:sz w:val="20"/>
        </w:rPr>
        <w:t xml:space="preserve">90. Применимо к гражданину, зарегистрированному в качестве индивидуального предпринимателя и в отношении которого представляется </w:t>
      </w:r>
      <w:hyperlink w:history="0" r:id="rId20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по сделке (сделкам), совершенным таким гражданином в рамках предпринимательской деятельности, при наличии обстоятельств, перечисленных в </w:t>
      </w:r>
      <w:hyperlink w:history="0" w:anchor="P424" w:tooltip="89. Сведения о расходах представляются при наличии оснований, предусмотренных Федеральным законом от 3 декабря 2012 г. N 230-ФЗ &quot;О контроле за соответствием расходов лиц, замещающих государственные должности, и иных лиц их доходам&quot;, т.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
        <w:r>
          <w:rPr>
            <w:sz w:val="20"/>
            <w:color w:val="0000ff"/>
          </w:rPr>
          <w:t xml:space="preserve">пункте 89</w:t>
        </w:r>
      </w:hyperlink>
      <w:r>
        <w:rPr>
          <w:sz w:val="20"/>
        </w:rPr>
        <w:t xml:space="preserve"> настоящих Методических рекомендаций, также представляются сведения о расходах.</w:t>
      </w:r>
    </w:p>
    <w:p>
      <w:pPr>
        <w:pStyle w:val="0"/>
        <w:spacing w:before="200" w:lineRule="auto"/>
        <w:ind w:firstLine="540"/>
        <w:jc w:val="both"/>
      </w:pPr>
      <w:r>
        <w:rPr>
          <w:sz w:val="20"/>
        </w:rPr>
        <w:t xml:space="preserve">91. Не предусмотрено в данном </w:t>
      </w:r>
      <w:hyperlink w:history="0" r:id="rId20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отражение информации об оплате неотделимых улучшений объекта недвижимости.</w:t>
      </w:r>
    </w:p>
    <w:bookmarkStart w:id="428" w:name="P428"/>
    <w:bookmarkEnd w:id="428"/>
    <w:p>
      <w:pPr>
        <w:pStyle w:val="0"/>
        <w:spacing w:before="200" w:lineRule="auto"/>
        <w:ind w:firstLine="540"/>
        <w:jc w:val="both"/>
      </w:pPr>
      <w:r>
        <w:rPr>
          <w:sz w:val="20"/>
        </w:rPr>
        <w:t xml:space="preserve">92. Представление сведений о расходах при отсутствии указанных в </w:t>
      </w:r>
      <w:hyperlink w:history="0" w:anchor="P424" w:tooltip="89. Сведения о расходах представляются при наличии оснований, предусмотренных Федеральным законом от 3 декабря 2012 г. N 230-ФЗ &quot;О контроле за соответствием расходов лиц, замещающих государственные должности, и иных лиц их доходам&quot;, т.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
        <w:r>
          <w:rPr>
            <w:sz w:val="20"/>
            <w:color w:val="0000ff"/>
          </w:rPr>
          <w:t xml:space="preserve">пункте 89</w:t>
        </w:r>
      </w:hyperlink>
      <w:r>
        <w:rPr>
          <w:sz w:val="20"/>
        </w:rPr>
        <w:t xml:space="preserve"> настоящих Методических рекомендаций оснований не является нарушением.</w:t>
      </w:r>
    </w:p>
    <w:p>
      <w:pPr>
        <w:pStyle w:val="0"/>
        <w:spacing w:before="200" w:lineRule="auto"/>
        <w:ind w:firstLine="540"/>
        <w:jc w:val="both"/>
      </w:pPr>
      <w:r>
        <w:rPr>
          <w:sz w:val="20"/>
        </w:rPr>
        <w:t xml:space="preserve">93. При расчете общего дохода служащего (работника), его супруги (супруга) и несовершеннолетних детей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2025 году, суммируются доходы служащего (работника), его супруги (супруга) и несовершеннолетних детей, полученные в 2022, 2023 и 2024 годах. Общий доход служащего (работника), его супруги (супруга) и несовершеннолетних детей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pPr>
        <w:pStyle w:val="0"/>
        <w:spacing w:before="200" w:lineRule="auto"/>
        <w:ind w:firstLine="540"/>
        <w:jc w:val="both"/>
      </w:pPr>
      <w:r>
        <w:rPr>
          <w:sz w:val="20"/>
        </w:rPr>
        <w:t xml:space="preserve">94. Для цели реализации </w:t>
      </w:r>
      <w:hyperlink w:history="0" w:anchor="P424" w:tooltip="89. Сведения о расходах представляются при наличии оснований, предусмотренных Федеральным законом от 3 декабря 2012 г. N 230-ФЗ &quot;О контроле за соответствием расходов лиц, замещающих государственные должности, и иных лиц их доходам&quot;, т.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
        <w:r>
          <w:rPr>
            <w:sz w:val="20"/>
            <w:color w:val="0000ff"/>
          </w:rPr>
          <w:t xml:space="preserve">пункта 89</w:t>
        </w:r>
      </w:hyperlink>
      <w:r>
        <w:rPr>
          <w:sz w:val="20"/>
        </w:rPr>
        <w:t xml:space="preserve"> настоящих Методических рекомендаций при расчете общего дохода учитываются доходы супруги (супруга) служащего (работника), полученные в период нахождения в браке (аналогично в отношении доходов служащего (работника).</w:t>
      </w:r>
    </w:p>
    <w:p>
      <w:pPr>
        <w:pStyle w:val="0"/>
        <w:spacing w:before="200" w:lineRule="auto"/>
        <w:ind w:firstLine="540"/>
        <w:jc w:val="both"/>
      </w:pPr>
      <w:r>
        <w:rPr>
          <w:sz w:val="20"/>
        </w:rPr>
        <w:t xml:space="preserve">Также учету подлежат доходы ребенка, полученные им в соответствующий трехлетний период и до достижения совершеннолетия.</w:t>
      </w:r>
    </w:p>
    <w:p>
      <w:pPr>
        <w:pStyle w:val="0"/>
        <w:spacing w:before="200" w:lineRule="auto"/>
        <w:ind w:firstLine="540"/>
        <w:jc w:val="both"/>
      </w:pPr>
      <w:r>
        <w:rPr>
          <w:sz w:val="20"/>
        </w:rPr>
        <w:t xml:space="preserve">Если супругой (супругом) совершена сделка (сделки) до вступления в брак со служащим (работником), то в рамках декларационной кампании информация о данной сделке (сделках) не подлежит отражению в </w:t>
      </w:r>
      <w:hyperlink w:history="0" r:id="rId20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2</w:t>
        </w:r>
      </w:hyperlink>
      <w:r>
        <w:rPr>
          <w:sz w:val="20"/>
        </w:rPr>
        <w:t xml:space="preserve"> справки.</w:t>
      </w:r>
    </w:p>
    <w:p>
      <w:pPr>
        <w:pStyle w:val="0"/>
        <w:spacing w:before="200" w:lineRule="auto"/>
        <w:ind w:firstLine="540"/>
        <w:jc w:val="both"/>
      </w:pPr>
      <w:r>
        <w:rPr>
          <w:sz w:val="20"/>
        </w:rPr>
        <w:t xml:space="preserve">95. 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общий доход лица, его супруги (супруга) и несовершеннолетних детей за три последних года, предшествующих отчетному периоду, подлежит отражению в настоящем </w:t>
      </w:r>
      <w:hyperlink w:history="0" r:id="rId20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pPr>
        <w:pStyle w:val="0"/>
        <w:spacing w:before="200" w:lineRule="auto"/>
        <w:ind w:firstLine="540"/>
        <w:jc w:val="both"/>
      </w:pPr>
      <w:r>
        <w:rPr>
          <w:sz w:val="20"/>
        </w:rPr>
        <w:t xml:space="preserve">96. 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общий доход служащего (работника), его супруги (супруга) и несовершеннолетних детей за три последних года, предшествующих совершению сделки).</w:t>
      </w:r>
    </w:p>
    <w:p>
      <w:pPr>
        <w:pStyle w:val="0"/>
        <w:spacing w:before="200" w:lineRule="auto"/>
        <w:ind w:firstLine="540"/>
        <w:jc w:val="both"/>
      </w:pPr>
      <w:r>
        <w:rPr>
          <w:sz w:val="20"/>
        </w:rPr>
        <w:t xml:space="preserve">97. Сведения о расходах не представляются в следующих случаях:</w:t>
      </w:r>
    </w:p>
    <w:p>
      <w:pPr>
        <w:pStyle w:val="0"/>
        <w:spacing w:before="200" w:lineRule="auto"/>
        <w:ind w:firstLine="540"/>
        <w:jc w:val="both"/>
      </w:pPr>
      <w:r>
        <w:rPr>
          <w:sz w:val="20"/>
        </w:rPr>
        <w:t xml:space="preserve">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w:t>
      </w:r>
      <w:hyperlink w:history="0" r:id="rId21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 N 230-ФЗ "О контроле за соответствием расходов лиц, замещающих государственные должности, и иных лиц их доходам");</w:t>
      </w:r>
    </w:p>
    <w:p>
      <w:pPr>
        <w:pStyle w:val="0"/>
        <w:spacing w:before="200" w:lineRule="auto"/>
        <w:ind w:firstLine="540"/>
        <w:jc w:val="both"/>
      </w:pPr>
      <w:r>
        <w:rPr>
          <w:sz w:val="20"/>
        </w:rPr>
        <w:t xml:space="preserve">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майнинга или участия в майнинг-пуле. При этом такое имущество отражается в соответствующих разделах </w:t>
      </w:r>
      <w:hyperlink w:history="0" r:id="rId21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w:t>
      </w:r>
    </w:p>
    <w:p>
      <w:pPr>
        <w:pStyle w:val="0"/>
        <w:spacing w:before="200" w:lineRule="auto"/>
        <w:ind w:firstLine="540"/>
        <w:jc w:val="both"/>
      </w:pPr>
      <w:r>
        <w:rPr>
          <w:sz w:val="20"/>
        </w:rPr>
        <w:t xml:space="preserve">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pPr>
        <w:pStyle w:val="0"/>
        <w:ind w:firstLine="540"/>
        <w:jc w:val="both"/>
      </w:pPr>
      <w:r>
        <w:rPr>
          <w:sz w:val="20"/>
        </w:rPr>
      </w:r>
    </w:p>
    <w:p>
      <w:pPr>
        <w:pStyle w:val="2"/>
        <w:outlineLvl w:val="2"/>
        <w:ind w:firstLine="540"/>
        <w:jc w:val="both"/>
      </w:pPr>
      <w:r>
        <w:rPr>
          <w:sz w:val="20"/>
        </w:rPr>
        <w:t xml:space="preserve">Вид приобретенного имущества</w:t>
      </w:r>
    </w:p>
    <w:p>
      <w:pPr>
        <w:pStyle w:val="0"/>
        <w:spacing w:before="200" w:lineRule="auto"/>
        <w:ind w:firstLine="540"/>
        <w:jc w:val="both"/>
      </w:pPr>
      <w:r>
        <w:rPr>
          <w:sz w:val="20"/>
        </w:rPr>
        <w:t xml:space="preserve">98. При заполнении </w:t>
      </w:r>
      <w:hyperlink w:history="0" r:id="rId21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pPr>
        <w:pStyle w:val="0"/>
        <w:ind w:firstLine="540"/>
        <w:jc w:val="both"/>
      </w:pPr>
      <w:r>
        <w:rPr>
          <w:sz w:val="20"/>
        </w:rPr>
      </w:r>
    </w:p>
    <w:p>
      <w:pPr>
        <w:pStyle w:val="2"/>
        <w:outlineLvl w:val="2"/>
        <w:ind w:firstLine="540"/>
        <w:jc w:val="both"/>
      </w:pPr>
      <w:r>
        <w:rPr>
          <w:sz w:val="20"/>
        </w:rPr>
        <w:t xml:space="preserve">Сумма сделки</w:t>
      </w:r>
    </w:p>
    <w:p>
      <w:pPr>
        <w:pStyle w:val="0"/>
        <w:spacing w:before="200" w:lineRule="auto"/>
        <w:ind w:firstLine="540"/>
        <w:jc w:val="both"/>
      </w:pPr>
      <w:r>
        <w:rPr>
          <w:sz w:val="20"/>
        </w:rPr>
        <w:t xml:space="preserve">99. В </w:t>
      </w:r>
      <w:hyperlink w:history="0" r:id="rId21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pPr>
        <w:pStyle w:val="0"/>
        <w:ind w:firstLine="540"/>
        <w:jc w:val="both"/>
      </w:pPr>
      <w:r>
        <w:rPr>
          <w:sz w:val="20"/>
        </w:rPr>
      </w:r>
    </w:p>
    <w:p>
      <w:pPr>
        <w:pStyle w:val="2"/>
        <w:outlineLvl w:val="2"/>
        <w:ind w:firstLine="540"/>
        <w:jc w:val="both"/>
      </w:pPr>
      <w:r>
        <w:rPr>
          <w:sz w:val="20"/>
        </w:rPr>
        <w:t xml:space="preserve">Источник получения средств, за счет которых приобретено имущество</w:t>
      </w:r>
    </w:p>
    <w:p>
      <w:pPr>
        <w:pStyle w:val="0"/>
        <w:spacing w:before="200" w:lineRule="auto"/>
        <w:ind w:firstLine="540"/>
        <w:jc w:val="both"/>
      </w:pPr>
      <w:r>
        <w:rPr>
          <w:sz w:val="20"/>
        </w:rPr>
        <w:t xml:space="preserve">100. При заполнении </w:t>
      </w:r>
      <w:hyperlink w:history="0" r:id="rId21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pPr>
        <w:pStyle w:val="0"/>
        <w:spacing w:before="200" w:lineRule="auto"/>
        <w:ind w:firstLine="540"/>
        <w:jc w:val="both"/>
      </w:pPr>
      <w:r>
        <w:rPr>
          <w:sz w:val="20"/>
        </w:rPr>
        <w:t xml:space="preserve">101. 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pPr>
        <w:pStyle w:val="0"/>
        <w:spacing w:before="200" w:lineRule="auto"/>
        <w:ind w:firstLine="540"/>
        <w:jc w:val="both"/>
      </w:pPr>
      <w:r>
        <w:rPr>
          <w:sz w:val="20"/>
        </w:rPr>
        <w:t xml:space="preserve">102. 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pPr>
        <w:pStyle w:val="0"/>
        <w:ind w:firstLine="540"/>
        <w:jc w:val="both"/>
      </w:pPr>
      <w:r>
        <w:rPr>
          <w:sz w:val="20"/>
        </w:rPr>
      </w:r>
    </w:p>
    <w:p>
      <w:pPr>
        <w:pStyle w:val="2"/>
        <w:outlineLvl w:val="2"/>
        <w:ind w:firstLine="540"/>
        <w:jc w:val="both"/>
      </w:pPr>
      <w:r>
        <w:rPr>
          <w:sz w:val="20"/>
        </w:rPr>
        <w:t xml:space="preserve">Основания приобретения имущества</w:t>
      </w:r>
    </w:p>
    <w:p>
      <w:pPr>
        <w:pStyle w:val="0"/>
        <w:spacing w:before="200" w:lineRule="auto"/>
        <w:ind w:firstLine="540"/>
        <w:jc w:val="both"/>
      </w:pPr>
      <w:r>
        <w:rPr>
          <w:sz w:val="20"/>
        </w:rPr>
        <w:t xml:space="preserve">103. В </w:t>
      </w:r>
      <w:hyperlink w:history="0" r:id="rId21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w:t>
      </w:r>
      <w:hyperlink w:history="0" r:id="rId21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w:t>
      </w:r>
    </w:p>
    <w:p>
      <w:pPr>
        <w:pStyle w:val="0"/>
        <w:spacing w:before="200" w:lineRule="auto"/>
        <w:ind w:firstLine="540"/>
        <w:jc w:val="both"/>
      </w:pPr>
      <w:r>
        <w:rPr>
          <w:sz w:val="20"/>
        </w:rPr>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w:t>
      </w:r>
    </w:p>
    <w:p>
      <w:pPr>
        <w:pStyle w:val="0"/>
        <w:spacing w:before="200" w:lineRule="auto"/>
        <w:ind w:firstLine="540"/>
        <w:jc w:val="both"/>
      </w:pPr>
      <w:r>
        <w:rPr>
          <w:sz w:val="20"/>
        </w:rPr>
        <w:t xml:space="preserve">В отношении сделок по приобретению цифровых финансовых активов и цифровой валюты к </w:t>
      </w:r>
      <w:hyperlink w:history="0" r:id="rId21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прилагаются документы (при их наличии), подтверждающие сумму сделки и (или) содержащие информацию о второй стороне сделки.</w:t>
      </w:r>
    </w:p>
    <w:p>
      <w:pPr>
        <w:pStyle w:val="0"/>
        <w:ind w:firstLine="540"/>
        <w:jc w:val="both"/>
      </w:pPr>
      <w:r>
        <w:rPr>
          <w:sz w:val="20"/>
        </w:rPr>
      </w:r>
    </w:p>
    <w:p>
      <w:pPr>
        <w:pStyle w:val="2"/>
        <w:outlineLvl w:val="2"/>
        <w:ind w:firstLine="540"/>
        <w:jc w:val="both"/>
      </w:pPr>
      <w:r>
        <w:rPr>
          <w:sz w:val="20"/>
        </w:rPr>
        <w:t xml:space="preserve">Особенности представления сведений о расходах</w:t>
      </w:r>
    </w:p>
    <w:p>
      <w:pPr>
        <w:pStyle w:val="0"/>
        <w:spacing w:before="200" w:lineRule="auto"/>
        <w:ind w:firstLine="540"/>
        <w:jc w:val="both"/>
      </w:pPr>
      <w:r>
        <w:rPr>
          <w:sz w:val="20"/>
        </w:rPr>
        <w:t xml:space="preserve">104. Особенности представления сведений о расходах:</w:t>
      </w:r>
    </w:p>
    <w:p>
      <w:pPr>
        <w:pStyle w:val="0"/>
        <w:spacing w:before="200" w:lineRule="auto"/>
        <w:ind w:firstLine="540"/>
        <w:jc w:val="both"/>
      </w:pPr>
      <w:r>
        <w:rPr>
          <w:sz w:val="20"/>
        </w:rPr>
        <w:t xml:space="preserve">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(в том числе с использованием счета эскроу), отражаются в сведениях о расходах в случае, если договор заключен на сумму, превышающую общий доход служащего (работника), его супруги (супруга) и несовершеннолетних детей за три последних года, предшествующих совершению сделки. Копия договора прилагается к </w:t>
      </w:r>
      <w:hyperlink w:history="0" r:id="rId21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w:t>
      </w:r>
      <w:hyperlink w:history="0" r:id="rId21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w:t>
      </w:r>
      <w:hyperlink w:history="0" r:id="rId22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w:t>
      </w:r>
      <w:hyperlink w:history="0" r:id="rId22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общий доход служащего (работника), его супруги (супруга) и несовершеннолетних детей за три последних года, предшествующих году, в котором совершена сделка (сделки);</w:t>
      </w:r>
    </w:p>
    <w:p>
      <w:pPr>
        <w:pStyle w:val="0"/>
        <w:spacing w:before="200" w:lineRule="auto"/>
        <w:ind w:firstLine="540"/>
        <w:jc w:val="both"/>
      </w:pPr>
      <w:r>
        <w:rPr>
          <w:sz w:val="20"/>
        </w:rPr>
        <w:t xml:space="preserve">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pPr>
        <w:pStyle w:val="0"/>
        <w:spacing w:before="200" w:lineRule="auto"/>
        <w:ind w:firstLine="540"/>
        <w:jc w:val="both"/>
      </w:pPr>
      <w:r>
        <w:rPr>
          <w:sz w:val="20"/>
        </w:rPr>
        <w:t xml:space="preserve">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pPr>
        <w:pStyle w:val="0"/>
        <w:jc w:val="both"/>
      </w:pPr>
      <w:r>
        <w:rPr>
          <w:sz w:val="20"/>
        </w:rPr>
      </w:r>
    </w:p>
    <w:p>
      <w:pPr>
        <w:pStyle w:val="2"/>
        <w:outlineLvl w:val="1"/>
        <w:jc w:val="center"/>
      </w:pPr>
      <w:hyperlink w:history="0" r:id="rId22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3</w:t>
        </w:r>
      </w:hyperlink>
      <w:r>
        <w:rPr>
          <w:sz w:val="20"/>
        </w:rPr>
        <w:t xml:space="preserve">. СВЕДЕНИЯ ОБ ИМУЩЕСТВЕ</w:t>
      </w:r>
    </w:p>
    <w:p>
      <w:pPr>
        <w:pStyle w:val="0"/>
        <w:jc w:val="both"/>
      </w:pPr>
      <w:r>
        <w:rPr>
          <w:sz w:val="20"/>
        </w:rPr>
      </w:r>
    </w:p>
    <w:p>
      <w:pPr>
        <w:pStyle w:val="2"/>
        <w:outlineLvl w:val="2"/>
        <w:ind w:firstLine="540"/>
        <w:jc w:val="both"/>
      </w:pPr>
      <w:hyperlink w:history="0" r:id="rId22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3.1</w:t>
        </w:r>
      </w:hyperlink>
      <w:r>
        <w:rPr>
          <w:sz w:val="20"/>
        </w:rPr>
        <w:t xml:space="preserve"> Недвижимое имущество</w:t>
      </w:r>
    </w:p>
    <w:p>
      <w:pPr>
        <w:pStyle w:val="0"/>
        <w:ind w:firstLine="540"/>
        <w:jc w:val="both"/>
      </w:pPr>
      <w:r>
        <w:rPr>
          <w:sz w:val="20"/>
        </w:rPr>
      </w:r>
    </w:p>
    <w:p>
      <w:pPr>
        <w:pStyle w:val="2"/>
        <w:outlineLvl w:val="3"/>
        <w:ind w:firstLine="540"/>
        <w:jc w:val="both"/>
      </w:pPr>
      <w:r>
        <w:rPr>
          <w:sz w:val="20"/>
        </w:rPr>
        <w:t xml:space="preserve">Основные положения</w:t>
      </w:r>
    </w:p>
    <w:p>
      <w:pPr>
        <w:pStyle w:val="0"/>
        <w:spacing w:before="200" w:lineRule="auto"/>
        <w:ind w:firstLine="540"/>
        <w:jc w:val="both"/>
      </w:pPr>
      <w:r>
        <w:rPr>
          <w:sz w:val="20"/>
        </w:rPr>
        <w:t xml:space="preserve">105. Понятие недвижимого имущества установлено </w:t>
      </w:r>
      <w:hyperlink w:history="0" r:id="rId224"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статьей 130</w:t>
        </w:r>
      </w:hyperlink>
      <w:r>
        <w:rPr>
          <w:sz w:val="20"/>
        </w:rPr>
        <w:t xml:space="preserve"> Гражданского кодекса Российской Федерации. Согласно указанной </w:t>
      </w:r>
      <w:hyperlink w:history="0" r:id="rId225"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статье</w:t>
        </w:r>
      </w:hyperlink>
      <w:r>
        <w:rPr>
          <w:sz w:val="20"/>
        </w:rPr>
        <w:t xml:space="preserve">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pPr>
        <w:pStyle w:val="0"/>
        <w:spacing w:before="200" w:lineRule="auto"/>
        <w:ind w:firstLine="540"/>
        <w:jc w:val="both"/>
      </w:pPr>
      <w:r>
        <w:rPr>
          <w:sz w:val="20"/>
        </w:rPr>
        <w:t xml:space="preserve">106. При заполнении данного </w:t>
      </w:r>
      <w:hyperlink w:history="0" r:id="rId22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w:t>
      </w:r>
    </w:p>
    <w:p>
      <w:pPr>
        <w:pStyle w:val="0"/>
        <w:spacing w:before="200" w:lineRule="auto"/>
        <w:ind w:firstLine="540"/>
        <w:jc w:val="both"/>
      </w:pPr>
      <w:r>
        <w:rPr>
          <w:sz w:val="20"/>
        </w:rPr>
        <w:t xml:space="preserve">Также в данном </w:t>
      </w:r>
      <w:hyperlink w:history="0" r:id="rId22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При заполнении данного </w:t>
      </w:r>
      <w:hyperlink w:history="0" r:id="rId22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 (за исключением случая, предусмотренного </w:t>
      </w:r>
      <w:hyperlink w:history="0" w:anchor="P518" w:tooltip="124.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Федераль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
        <w:r>
          <w:rPr>
            <w:sz w:val="20"/>
            <w:color w:val="0000ff"/>
          </w:rPr>
          <w:t xml:space="preserve">пунктом 124</w:t>
        </w:r>
      </w:hyperlink>
      <w:r>
        <w:rPr>
          <w:sz w:val="20"/>
        </w:rPr>
        <w:t xml:space="preserve"> настоящих Методических рекомендаций).</w:t>
      </w:r>
    </w:p>
    <w:p>
      <w:pPr>
        <w:pStyle w:val="0"/>
        <w:spacing w:before="200" w:lineRule="auto"/>
        <w:ind w:firstLine="540"/>
        <w:jc w:val="both"/>
      </w:pPr>
      <w:r>
        <w:rPr>
          <w:sz w:val="20"/>
        </w:rPr>
        <w:t xml:space="preserve">107. 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w:t>
      </w:r>
      <w:hyperlink w:history="0" r:id="rId229" w:tooltip="Федеральный закон от 13.07.2015 N 218-ФЗ (ред. от 30.01.2026) &quot;О государственной регистрации недвижимости&quot; (с изм. и доп., вступ. в силу с 01.03.2026) ------------ Недействующая редакция {КонсультантПлюс}">
        <w:r>
          <w:rPr>
            <w:sz w:val="20"/>
            <w:color w:val="0000ff"/>
          </w:rPr>
          <w:t xml:space="preserve">часть 3 статьи 1</w:t>
        </w:r>
      </w:hyperlink>
      <w:r>
        <w:rPr>
          <w:sz w:val="20"/>
        </w:rPr>
        <w:t xml:space="preserve"> Федерального закона от 13 июля 2015 г. N 218-ФЗ "О государственной регистрации недвижимости").</w:t>
      </w:r>
    </w:p>
    <w:p>
      <w:pPr>
        <w:pStyle w:val="0"/>
        <w:spacing w:before="200" w:lineRule="auto"/>
        <w:ind w:firstLine="540"/>
        <w:jc w:val="both"/>
      </w:pPr>
      <w:r>
        <w:rPr>
          <w:sz w:val="20"/>
        </w:rPr>
        <w:t xml:space="preserve">В связи с этим сведения об объекте недвижимости указываются в данном </w:t>
      </w:r>
      <w:hyperlink w:history="0" r:id="rId23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w:t>
      </w:r>
      <w:hyperlink w:history="0" w:anchor="P518" w:tooltip="124. В случае если право на недвижимое имущество возникло до вступления в силу Федерального закона от 21 июля 1997 г. N 122-ФЗ &quot;О государственной регистрации прав на недвижимое имущество и сделок с ним&quot;, свидетельство о государственной регистрации прав на недвижимое имущество и/или запись в ЕГРН в установленном данным Федераль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
        <w:r>
          <w:rPr>
            <w:sz w:val="20"/>
            <w:color w:val="0000ff"/>
          </w:rPr>
          <w:t xml:space="preserve">пунктом 124</w:t>
        </w:r>
      </w:hyperlink>
      <w:r>
        <w:rPr>
          <w:sz w:val="20"/>
        </w:rPr>
        <w:t xml:space="preserve"> настоящих Методических рекомендаций).</w:t>
      </w:r>
    </w:p>
    <w:p>
      <w:pPr>
        <w:pStyle w:val="0"/>
        <w:spacing w:before="200" w:lineRule="auto"/>
        <w:ind w:firstLine="540"/>
        <w:jc w:val="both"/>
      </w:pPr>
      <w:r>
        <w:rPr>
          <w:sz w:val="20"/>
        </w:rPr>
        <w:t xml:space="preserve">108. В соответствии с </w:t>
      </w:r>
      <w:hyperlink w:history="0" r:id="rId231"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пунктом 4 статьи 218</w:t>
        </w:r>
      </w:hyperlink>
      <w:r>
        <w:rPr>
          <w:sz w:val="20"/>
        </w:rPr>
        <w:t xml:space="preserve">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w:t>
      </w:r>
      <w:hyperlink w:history="0" r:id="rId23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w:t>
      </w:r>
      <w:hyperlink w:history="0" r:id="rId23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имеется право собственности.</w:t>
      </w:r>
    </w:p>
    <w:p>
      <w:pPr>
        <w:pStyle w:val="0"/>
        <w:spacing w:before="200" w:lineRule="auto"/>
        <w:ind w:firstLine="540"/>
        <w:jc w:val="both"/>
      </w:pPr>
      <w:r>
        <w:rPr>
          <w:sz w:val="20"/>
        </w:rPr>
        <w:t xml:space="preserve">109. Указанию также подлежит недвижимое имущество, полученное в порядке наследования (принято наследство и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pPr>
        <w:pStyle w:val="0"/>
        <w:spacing w:before="200" w:lineRule="auto"/>
        <w:ind w:firstLine="540"/>
        <w:jc w:val="both"/>
      </w:pPr>
      <w:r>
        <w:rPr>
          <w:sz w:val="20"/>
        </w:rPr>
        <w:t xml:space="preserve">110. 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w:t>
      </w:r>
      <w:hyperlink w:history="0" r:id="rId23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как два земельных участка, если на каждый участок есть отдельный документ о праве собственности и т.п.).</w:t>
      </w:r>
    </w:p>
    <w:p>
      <w:pPr>
        <w:pStyle w:val="0"/>
        <w:ind w:firstLine="540"/>
        <w:jc w:val="both"/>
      </w:pPr>
      <w:r>
        <w:rPr>
          <w:sz w:val="20"/>
        </w:rPr>
      </w:r>
    </w:p>
    <w:p>
      <w:pPr>
        <w:pStyle w:val="2"/>
        <w:outlineLvl w:val="3"/>
        <w:ind w:firstLine="540"/>
        <w:jc w:val="both"/>
      </w:pPr>
      <w:r>
        <w:rPr>
          <w:sz w:val="20"/>
        </w:rPr>
        <w:t xml:space="preserve">Вид и наименование имущества</w:t>
      </w:r>
    </w:p>
    <w:bookmarkStart w:id="483" w:name="P483"/>
    <w:bookmarkEnd w:id="483"/>
    <w:p>
      <w:pPr>
        <w:pStyle w:val="0"/>
        <w:spacing w:before="200" w:lineRule="auto"/>
        <w:ind w:firstLine="540"/>
        <w:jc w:val="both"/>
      </w:pPr>
      <w:r>
        <w:rPr>
          <w:sz w:val="20"/>
        </w:rPr>
        <w:t xml:space="preserve">111.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pPr>
        <w:pStyle w:val="0"/>
        <w:spacing w:before="200" w:lineRule="auto"/>
        <w:ind w:firstLine="540"/>
        <w:jc w:val="both"/>
      </w:pPr>
      <w:r>
        <w:rPr>
          <w:sz w:val="20"/>
        </w:rPr>
        <w:t xml:space="preserve">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сельскохозяйственной птицы и (или) кроликов в случаях, предусмотренных Федеральным </w:t>
      </w:r>
      <w:hyperlink w:history="0" r:id="rId235" w:tooltip="Федеральный закон от 29.07.2017 N 217-ФЗ (ред. от 31.07.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с изм. и доп., вступ. в силу с 01.03.2026) {КонсультантПлюс}">
        <w:r>
          <w:rPr>
            <w:sz w:val="20"/>
            <w:color w:val="0000ff"/>
          </w:rPr>
          <w:t xml:space="preserve">законом</w:t>
        </w:r>
      </w:hyperlink>
      <w:r>
        <w:rPr>
          <w:sz w:val="20"/>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 правом размещения садовых домов, жилых домов, хозяйственных построек и гаражей;</w:t>
      </w:r>
    </w:p>
    <w:p>
      <w:pPr>
        <w:pStyle w:val="0"/>
        <w:spacing w:before="200" w:lineRule="auto"/>
        <w:ind w:firstLine="540"/>
        <w:jc w:val="both"/>
      </w:pPr>
      <w:r>
        <w:rPr>
          <w:sz w:val="20"/>
        </w:rPr>
        <w:t xml:space="preserve">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pPr>
        <w:pStyle w:val="0"/>
        <w:spacing w:before="200" w:lineRule="auto"/>
        <w:ind w:firstLine="540"/>
        <w:jc w:val="both"/>
      </w:pPr>
      <w:r>
        <w:rPr>
          <w:sz w:val="20"/>
        </w:rPr>
        <w:t xml:space="preserve">112. В соответствии со </w:t>
      </w:r>
      <w:hyperlink w:history="0" r:id="rId236" w:tooltip="Федеральный закон от 07.07.2003 N 112-ФЗ (ред. от 04.08.2023) &quot;О личном подсобном хозяйстве&quot; {КонсультантПлюс}">
        <w:r>
          <w:rPr>
            <w:sz w:val="20"/>
            <w:color w:val="0000ff"/>
          </w:rPr>
          <w:t xml:space="preserve">статьей 2</w:t>
        </w:r>
      </w:hyperlink>
      <w:r>
        <w:rPr>
          <w:sz w:val="20"/>
        </w:rPr>
        <w:t xml:space="preserve"> Федерального закона от 7 июля 2003 г. N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pPr>
        <w:pStyle w:val="0"/>
        <w:spacing w:before="200" w:lineRule="auto"/>
        <w:ind w:firstLine="540"/>
        <w:jc w:val="both"/>
      </w:pPr>
      <w:r>
        <w:rPr>
          <w:sz w:val="20"/>
        </w:rPr>
        <w:t xml:space="preserve">113. 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w:t>
      </w:r>
      <w:hyperlink w:history="0" r:id="rId23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114. При наличии в собственности жилого или садового дома, которые указываются в </w:t>
      </w:r>
      <w:hyperlink w:history="0" r:id="rId23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пункте 2</w:t>
        </w:r>
      </w:hyperlink>
      <w:r>
        <w:rPr>
          <w:sz w:val="20"/>
        </w:rPr>
        <w:t xml:space="preserve">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w:t>
      </w:r>
      <w:hyperlink w:history="0" r:id="rId23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24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spacing w:before="200" w:lineRule="auto"/>
        <w:ind w:firstLine="540"/>
        <w:jc w:val="both"/>
      </w:pPr>
      <w:r>
        <w:rPr>
          <w:sz w:val="20"/>
        </w:rPr>
        <w:t xml:space="preserve">115. В </w:t>
      </w:r>
      <w:hyperlink w:history="0" r:id="rId24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w:t>
      </w:r>
      <w:hyperlink w:history="0" r:id="rId24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или </w:t>
      </w:r>
      <w:hyperlink w:history="0" r:id="rId24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w:t>
      </w:r>
    </w:p>
    <w:p>
      <w:pPr>
        <w:pStyle w:val="0"/>
        <w:ind w:firstLine="540"/>
        <w:jc w:val="both"/>
      </w:pPr>
      <w:r>
        <w:rPr>
          <w:sz w:val="20"/>
        </w:rPr>
      </w:r>
    </w:p>
    <w:p>
      <w:pPr>
        <w:pStyle w:val="2"/>
        <w:outlineLvl w:val="3"/>
        <w:ind w:firstLine="540"/>
        <w:jc w:val="both"/>
      </w:pPr>
      <w:r>
        <w:rPr>
          <w:sz w:val="20"/>
        </w:rPr>
        <w:t xml:space="preserve">Вид собственности</w:t>
      </w:r>
    </w:p>
    <w:p>
      <w:pPr>
        <w:pStyle w:val="0"/>
        <w:spacing w:before="200" w:lineRule="auto"/>
        <w:ind w:firstLine="540"/>
        <w:jc w:val="both"/>
      </w:pPr>
      <w:r>
        <w:rPr>
          <w:sz w:val="20"/>
        </w:rPr>
        <w:t xml:space="preserve">116. В </w:t>
      </w:r>
      <w:hyperlink w:history="0" r:id="rId24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указывается вид собственности на имущество (индивидуальная, общая совместная, общая долевая).</w:t>
      </w:r>
    </w:p>
    <w:p>
      <w:pPr>
        <w:pStyle w:val="0"/>
        <w:spacing w:before="200" w:lineRule="auto"/>
        <w:ind w:firstLine="540"/>
        <w:jc w:val="both"/>
      </w:pPr>
      <w:r>
        <w:rPr>
          <w:sz w:val="20"/>
        </w:rPr>
        <w:t xml:space="preserve">117. В соответствии с Гражданским </w:t>
      </w:r>
      <w:hyperlink w:history="0" r:id="rId245"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кодексом</w:t>
        </w:r>
      </w:hyperlink>
      <w:r>
        <w:rPr>
          <w:sz w:val="20"/>
        </w:rPr>
        <w:t xml:space="preserve">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pPr>
        <w:pStyle w:val="0"/>
        <w:spacing w:before="200" w:lineRule="auto"/>
        <w:ind w:firstLine="540"/>
        <w:jc w:val="both"/>
      </w:pPr>
      <w:r>
        <w:rPr>
          <w:sz w:val="20"/>
        </w:rPr>
        <w:t xml:space="preserve">118. При заполнении </w:t>
      </w:r>
      <w:hyperlink w:history="0" r:id="rId24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w:t>
      </w:r>
      <w:hyperlink w:history="0" r:id="rId24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p>
    <w:p>
      <w:pPr>
        <w:pStyle w:val="0"/>
        <w:ind w:firstLine="540"/>
        <w:jc w:val="both"/>
      </w:pPr>
      <w:r>
        <w:rPr>
          <w:sz w:val="20"/>
        </w:rPr>
      </w:r>
    </w:p>
    <w:p>
      <w:pPr>
        <w:pStyle w:val="2"/>
        <w:outlineLvl w:val="3"/>
        <w:ind w:firstLine="540"/>
        <w:jc w:val="both"/>
      </w:pPr>
      <w:r>
        <w:rPr>
          <w:sz w:val="20"/>
        </w:rPr>
        <w:t xml:space="preserve">Местонахождение (адрес)</w:t>
      </w:r>
    </w:p>
    <w:bookmarkStart w:id="497" w:name="P497"/>
    <w:bookmarkEnd w:id="497"/>
    <w:p>
      <w:pPr>
        <w:pStyle w:val="0"/>
        <w:spacing w:before="200" w:lineRule="auto"/>
        <w:ind w:firstLine="540"/>
        <w:jc w:val="both"/>
      </w:pPr>
      <w:r>
        <w:rPr>
          <w:sz w:val="20"/>
        </w:rPr>
        <w:t xml:space="preserve">119. Местонахождение (адрес) недвижимого имущества указывается согласно правоустанавливающим документам. При этом указывается:</w:t>
      </w:r>
    </w:p>
    <w:p>
      <w:pPr>
        <w:pStyle w:val="0"/>
        <w:spacing w:before="200" w:lineRule="auto"/>
        <w:ind w:firstLine="540"/>
        <w:jc w:val="both"/>
      </w:pPr>
      <w:r>
        <w:rPr>
          <w:sz w:val="20"/>
        </w:rPr>
        <w:t xml:space="preserve">1) субъект Российской Федерации;</w:t>
      </w:r>
    </w:p>
    <w:p>
      <w:pPr>
        <w:pStyle w:val="0"/>
        <w:spacing w:before="200" w:lineRule="auto"/>
        <w:ind w:firstLine="540"/>
        <w:jc w:val="both"/>
      </w:pPr>
      <w:r>
        <w:rPr>
          <w:sz w:val="20"/>
        </w:rPr>
        <w:t xml:space="preserve">2) район;</w:t>
      </w:r>
    </w:p>
    <w:p>
      <w:pPr>
        <w:pStyle w:val="0"/>
        <w:spacing w:before="200" w:lineRule="auto"/>
        <w:ind w:firstLine="540"/>
        <w:jc w:val="both"/>
      </w:pPr>
      <w:r>
        <w:rPr>
          <w:sz w:val="20"/>
        </w:rPr>
        <w:t xml:space="preserve">3) город, иной населенный пункт (село, поселок и т.д.);</w:t>
      </w:r>
    </w:p>
    <w:p>
      <w:pPr>
        <w:pStyle w:val="0"/>
        <w:spacing w:before="200" w:lineRule="auto"/>
        <w:ind w:firstLine="540"/>
        <w:jc w:val="both"/>
      </w:pPr>
      <w:r>
        <w:rPr>
          <w:sz w:val="20"/>
        </w:rPr>
        <w:t xml:space="preserve">4) улица (проспект, переулок и т.д.);</w:t>
      </w:r>
    </w:p>
    <w:p>
      <w:pPr>
        <w:pStyle w:val="0"/>
        <w:spacing w:before="200" w:lineRule="auto"/>
        <w:ind w:firstLine="540"/>
        <w:jc w:val="both"/>
      </w:pPr>
      <w:r>
        <w:rPr>
          <w:sz w:val="20"/>
        </w:rPr>
        <w:t xml:space="preserve">5) номер дома (владения, участка), корпуса (строения), квартиры.</w:t>
      </w:r>
    </w:p>
    <w:p>
      <w:pPr>
        <w:pStyle w:val="0"/>
        <w:spacing w:before="200" w:lineRule="auto"/>
        <w:ind w:firstLine="540"/>
        <w:jc w:val="both"/>
      </w:pPr>
      <w:r>
        <w:rPr>
          <w:sz w:val="20"/>
        </w:rPr>
        <w:t xml:space="preserve">Также рекомендуется указывать индекс.</w:t>
      </w:r>
    </w:p>
    <w:bookmarkStart w:id="504" w:name="P504"/>
    <w:bookmarkEnd w:id="504"/>
    <w:p>
      <w:pPr>
        <w:pStyle w:val="0"/>
        <w:spacing w:before="200" w:lineRule="auto"/>
        <w:ind w:firstLine="540"/>
        <w:jc w:val="both"/>
      </w:pPr>
      <w:r>
        <w:rPr>
          <w:sz w:val="20"/>
        </w:rPr>
        <w:t xml:space="preserve">120. Если недвижимое имущество находится за рубежом, то указывается:</w:t>
      </w:r>
    </w:p>
    <w:p>
      <w:pPr>
        <w:pStyle w:val="0"/>
        <w:spacing w:before="200" w:lineRule="auto"/>
        <w:ind w:firstLine="540"/>
        <w:jc w:val="both"/>
      </w:pPr>
      <w:r>
        <w:rPr>
          <w:sz w:val="20"/>
        </w:rPr>
        <w:t xml:space="preserve">1) наименование государства;</w:t>
      </w:r>
    </w:p>
    <w:p>
      <w:pPr>
        <w:pStyle w:val="0"/>
        <w:spacing w:before="200" w:lineRule="auto"/>
        <w:ind w:firstLine="540"/>
        <w:jc w:val="both"/>
      </w:pPr>
      <w:r>
        <w:rPr>
          <w:sz w:val="20"/>
        </w:rPr>
        <w:t xml:space="preserve">2) населенный пункт (иная единица административно-территориального деления);</w:t>
      </w:r>
    </w:p>
    <w:p>
      <w:pPr>
        <w:pStyle w:val="0"/>
        <w:spacing w:before="200" w:lineRule="auto"/>
        <w:ind w:firstLine="540"/>
        <w:jc w:val="both"/>
      </w:pPr>
      <w:r>
        <w:rPr>
          <w:sz w:val="20"/>
        </w:rPr>
        <w:t xml:space="preserve">3) почтовый адрес.</w:t>
      </w:r>
    </w:p>
    <w:p>
      <w:pPr>
        <w:pStyle w:val="0"/>
        <w:ind w:firstLine="540"/>
        <w:jc w:val="both"/>
      </w:pPr>
      <w:r>
        <w:rPr>
          <w:sz w:val="20"/>
        </w:rPr>
      </w:r>
    </w:p>
    <w:p>
      <w:pPr>
        <w:pStyle w:val="2"/>
        <w:outlineLvl w:val="3"/>
        <w:ind w:firstLine="540"/>
        <w:jc w:val="both"/>
      </w:pPr>
      <w:r>
        <w:rPr>
          <w:sz w:val="20"/>
        </w:rPr>
        <w:t xml:space="preserve">Площадь</w:t>
      </w:r>
    </w:p>
    <w:bookmarkStart w:id="510" w:name="P510"/>
    <w:bookmarkEnd w:id="510"/>
    <w:p>
      <w:pPr>
        <w:pStyle w:val="0"/>
        <w:spacing w:before="200" w:lineRule="auto"/>
        <w:ind w:firstLine="540"/>
        <w:jc w:val="both"/>
      </w:pPr>
      <w:r>
        <w:rPr>
          <w:sz w:val="20"/>
        </w:rPr>
        <w:t xml:space="preserve">121.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pPr>
        <w:pStyle w:val="0"/>
        <w:spacing w:before="200" w:lineRule="auto"/>
        <w:ind w:firstLine="540"/>
        <w:jc w:val="both"/>
      </w:pPr>
      <w:r>
        <w:rPr>
          <w:sz w:val="20"/>
        </w:rPr>
        <w:t xml:space="preserve">122. 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w:t>
      </w:r>
      <w:hyperlink w:history="0" r:id="rId24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w:t>
      </w:r>
      <w:hyperlink w:history="0" r:id="rId249" w:tooltip="Федеральный закон от 29.07.2017 N 217-ФЗ (ред. от 31.07.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с изм. и доп., вступ. в силу с 01.03.2026) {КонсультантПлюс}">
        <w:r>
          <w:rPr>
            <w:sz w:val="20"/>
            <w:color w:val="0000ff"/>
          </w:rPr>
          <w:t xml:space="preserve">законе</w:t>
        </w:r>
      </w:hyperlink>
      <w:r>
        <w:rPr>
          <w:sz w:val="20"/>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ind w:firstLine="540"/>
        <w:jc w:val="both"/>
      </w:pPr>
      <w:r>
        <w:rPr>
          <w:sz w:val="20"/>
        </w:rPr>
      </w:r>
    </w:p>
    <w:p>
      <w:pPr>
        <w:pStyle w:val="2"/>
        <w:outlineLvl w:val="3"/>
        <w:ind w:firstLine="540"/>
        <w:jc w:val="both"/>
      </w:pPr>
      <w:r>
        <w:rPr>
          <w:sz w:val="20"/>
        </w:rPr>
        <w:t xml:space="preserve">Основание приобретения и источники средств</w:t>
      </w:r>
    </w:p>
    <w:p>
      <w:pPr>
        <w:pStyle w:val="0"/>
        <w:spacing w:before="200" w:lineRule="auto"/>
        <w:ind w:firstLine="540"/>
        <w:jc w:val="both"/>
      </w:pPr>
      <w:r>
        <w:rPr>
          <w:sz w:val="20"/>
        </w:rPr>
        <w:t xml:space="preserve">123. По общему правилу, предусмотренному </w:t>
      </w:r>
      <w:hyperlink w:history="0" r:id="rId250"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пунктом 2 статьи 223</w:t>
        </w:r>
      </w:hyperlink>
      <w:r>
        <w:rPr>
          <w:sz w:val="20"/>
        </w:rPr>
        <w:t xml:space="preserve">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hyperlink w:history="0" r:id="rId25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 отсутствуют. Вместе с тем такой объект подлежит указанию в </w:t>
      </w:r>
      <w:hyperlink w:history="0" r:id="rId25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6.1 раздела 6</w:t>
        </w:r>
      </w:hyperlink>
      <w:r>
        <w:rPr>
          <w:sz w:val="20"/>
        </w:rPr>
        <w:t xml:space="preserve"> справки (аналогично в случае ввода объекта в эксплуатацию).</w:t>
      </w:r>
    </w:p>
    <w:p>
      <w:pPr>
        <w:pStyle w:val="0"/>
        <w:spacing w:before="200" w:lineRule="auto"/>
        <w:ind w:firstLine="540"/>
        <w:jc w:val="both"/>
      </w:pPr>
      <w:r>
        <w:rPr>
          <w:sz w:val="20"/>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w:history="0" r:id="rId253">
        <w:r>
          <w:rPr>
            <w:sz w:val="20"/>
            <w:color w:val="0000ff"/>
          </w:rPr>
          <w:t xml:space="preserve">https://lk.rosreestr.ru/eservices/real-estate-objects-online</w:t>
        </w:r>
      </w:hyperlink>
      <w:r>
        <w:rPr>
          <w:sz w:val="20"/>
        </w:rPr>
        <w:t xml:space="preserve">).</w:t>
      </w:r>
    </w:p>
    <w:p>
      <w:pPr>
        <w:pStyle w:val="0"/>
        <w:spacing w:before="200" w:lineRule="auto"/>
        <w:ind w:firstLine="540"/>
        <w:jc w:val="both"/>
      </w:pPr>
      <w:r>
        <w:rPr>
          <w:sz w:val="20"/>
        </w:rPr>
        <w:t xml:space="preserve">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pPr>
        <w:pStyle w:val="0"/>
        <w:spacing w:before="200" w:lineRule="auto"/>
        <w:ind w:firstLine="540"/>
        <w:jc w:val="both"/>
      </w:pPr>
      <w:r>
        <w:rPr>
          <w:sz w:val="20"/>
        </w:rPr>
        <w:t xml:space="preserve">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bookmarkStart w:id="518" w:name="P518"/>
    <w:bookmarkEnd w:id="518"/>
    <w:p>
      <w:pPr>
        <w:pStyle w:val="0"/>
        <w:spacing w:before="200" w:lineRule="auto"/>
        <w:ind w:firstLine="540"/>
        <w:jc w:val="both"/>
      </w:pPr>
      <w:r>
        <w:rPr>
          <w:sz w:val="20"/>
        </w:rPr>
        <w:t xml:space="preserve">124. В случае если право на недвижимое имущество возникло до вступления в силу Федерального </w:t>
      </w:r>
      <w:hyperlink w:history="0" r:id="rId254"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0"/>
            <w:color w:val="0000ff"/>
          </w:rPr>
          <w:t xml:space="preserve">закона</w:t>
        </w:r>
      </w:hyperlink>
      <w:r>
        <w:rPr>
          <w:sz w:val="20"/>
        </w:rPr>
        <w:t xml:space="preserve"> от 21 июля 1997 г. N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Федеральным </w:t>
      </w:r>
      <w:hyperlink w:history="0" r:id="rId255" w:tooltip="Федеральный закон от 21.07.1997 N 122-ФЗ (ред. от 03.07.2016) &quot;О государственной регистрации прав на недвижимое имущество и сделок с ним&quot; (с изм. и доп., вступ. в силу с 01.01.2017) ------------ Утратил силу или отменен {КонсультантПлюс}">
        <w:r>
          <w:rPr>
            <w:sz w:val="20"/>
            <w:color w:val="0000ff"/>
          </w:rPr>
          <w:t xml:space="preserve">законом</w:t>
        </w:r>
      </w:hyperlink>
      <w:r>
        <w:rPr>
          <w:sz w:val="20"/>
        </w:rPr>
        <w:t xml:space="preserve">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N 1-345/95 о передаче недвижимого имущества в собственность и др.).</w:t>
      </w:r>
    </w:p>
    <w:p>
      <w:pPr>
        <w:pStyle w:val="0"/>
        <w:spacing w:before="200" w:lineRule="auto"/>
        <w:ind w:firstLine="540"/>
        <w:jc w:val="both"/>
      </w:pPr>
      <w:r>
        <w:rPr>
          <w:sz w:val="20"/>
        </w:rPr>
        <w:t xml:space="preserve">125. 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N 77:02:0014017:1994-72/004/2025-2 от 27 марта 2025 г.; договор купли-продажи от 19 февраля 2025 г. или иное.</w:t>
      </w:r>
    </w:p>
    <w:p>
      <w:pPr>
        <w:pStyle w:val="0"/>
        <w:spacing w:before="200" w:lineRule="auto"/>
        <w:ind w:firstLine="540"/>
        <w:jc w:val="both"/>
      </w:pPr>
      <w:r>
        <w:rPr>
          <w:sz w:val="20"/>
        </w:rPr>
        <w:t xml:space="preserve">126. 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pPr>
        <w:pStyle w:val="0"/>
        <w:spacing w:before="200" w:lineRule="auto"/>
        <w:ind w:firstLine="540"/>
        <w:jc w:val="both"/>
      </w:pPr>
      <w:r>
        <w:rPr>
          <w:sz w:val="20"/>
        </w:rPr>
        <w:t xml:space="preserve">Сведения об источнике средств, за счет которых приобретено недвижимое имущество, находящееся в пределах территории Российской Федерации, в настоящем </w:t>
      </w:r>
      <w:hyperlink w:history="0" r:id="rId25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 не указываются.</w:t>
      </w:r>
    </w:p>
    <w:p>
      <w:pPr>
        <w:pStyle w:val="0"/>
        <w:spacing w:before="200" w:lineRule="auto"/>
        <w:ind w:firstLine="540"/>
        <w:jc w:val="both"/>
      </w:pPr>
      <w:r>
        <w:rPr>
          <w:sz w:val="20"/>
        </w:rPr>
        <w:t xml:space="preserve">127. 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w:t>
      </w:r>
      <w:hyperlink w:history="0" r:id="rId257"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части 1 статьи 2</w:t>
        </w:r>
      </w:hyperlink>
      <w:r>
        <w:rPr>
          <w:sz w:val="20"/>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w:t>
      </w:r>
    </w:p>
    <w:p>
      <w:pPr>
        <w:pStyle w:val="0"/>
        <w:spacing w:before="200" w:lineRule="auto"/>
        <w:ind w:firstLine="540"/>
        <w:jc w:val="both"/>
      </w:pPr>
      <w:r>
        <w:rPr>
          <w:sz w:val="20"/>
        </w:rPr>
        <w:t xml:space="preserve">1) на лиц, замещающих (занимающих):</w:t>
      </w:r>
    </w:p>
    <w:bookmarkStart w:id="524" w:name="P524"/>
    <w:bookmarkEnd w:id="524"/>
    <w:p>
      <w:pPr>
        <w:pStyle w:val="0"/>
        <w:spacing w:before="200" w:lineRule="auto"/>
        <w:ind w:firstLine="540"/>
        <w:jc w:val="both"/>
      </w:pPr>
      <w:r>
        <w:rPr>
          <w:sz w:val="20"/>
        </w:rPr>
        <w:t xml:space="preserve">государственные должности Российской Федерации;</w:t>
      </w:r>
    </w:p>
    <w:p>
      <w:pPr>
        <w:pStyle w:val="0"/>
        <w:spacing w:before="200" w:lineRule="auto"/>
        <w:ind w:firstLine="540"/>
        <w:jc w:val="both"/>
      </w:pPr>
      <w:r>
        <w:rPr>
          <w:sz w:val="20"/>
        </w:rPr>
        <w:t xml:space="preserve">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государственные должности субъектов Российской Федерации;</w:t>
      </w:r>
    </w:p>
    <w:p>
      <w:pPr>
        <w:pStyle w:val="0"/>
        <w:spacing w:before="200" w:lineRule="auto"/>
        <w:ind w:firstLine="540"/>
        <w:jc w:val="both"/>
      </w:pPr>
      <w:r>
        <w:rPr>
          <w:sz w:val="20"/>
        </w:rPr>
        <w:t xml:space="preserve">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должности в государственных корпорациях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bookmarkStart w:id="532" w:name="P532"/>
    <w:bookmarkEnd w:id="532"/>
    <w:p>
      <w:pPr>
        <w:pStyle w:val="0"/>
        <w:spacing w:before="200" w:lineRule="auto"/>
        <w:ind w:firstLine="540"/>
        <w:jc w:val="both"/>
      </w:pPr>
      <w:r>
        <w:rPr>
          <w:sz w:val="20"/>
        </w:rPr>
        <w:t xml:space="preserve">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pPr>
        <w:pStyle w:val="0"/>
        <w:spacing w:before="200" w:lineRule="auto"/>
        <w:ind w:firstLine="540"/>
        <w:jc w:val="both"/>
      </w:pPr>
      <w:r>
        <w:rPr>
          <w:sz w:val="20"/>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государственных внебюджетных фондов Российской Федерации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pPr>
        <w:pStyle w:val="0"/>
        <w:spacing w:before="200" w:lineRule="auto"/>
        <w:ind w:firstLine="540"/>
        <w:jc w:val="both"/>
      </w:pPr>
      <w:r>
        <w:rPr>
          <w:sz w:val="20"/>
        </w:rPr>
        <w:t xml:space="preserve">2) на супруг (супругов), несовершеннолетних детей лиц, указанных в </w:t>
      </w:r>
      <w:hyperlink w:history="0" w:anchor="P524" w:tooltip="государственные должности Российской Федерации;">
        <w:r>
          <w:rPr>
            <w:sz w:val="20"/>
            <w:color w:val="0000ff"/>
          </w:rPr>
          <w:t xml:space="preserve">абзацах втором</w:t>
        </w:r>
      </w:hyperlink>
      <w:r>
        <w:rPr>
          <w:sz w:val="20"/>
        </w:rPr>
        <w:t xml:space="preserve"> - </w:t>
      </w:r>
      <w:hyperlink w:history="0" w:anchor="P532" w:tooltip="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
        <w:r>
          <w:rPr>
            <w:sz w:val="20"/>
            <w:color w:val="0000ff"/>
          </w:rPr>
          <w:t xml:space="preserve">десятом подпункта 1</w:t>
        </w:r>
      </w:hyperlink>
      <w:r>
        <w:rPr>
          <w:sz w:val="20"/>
        </w:rPr>
        <w:t xml:space="preserve"> настоящего пункта;</w:t>
      </w:r>
    </w:p>
    <w:p>
      <w:pPr>
        <w:pStyle w:val="0"/>
        <w:spacing w:before="200" w:lineRule="auto"/>
        <w:ind w:firstLine="540"/>
        <w:jc w:val="both"/>
      </w:pPr>
      <w:r>
        <w:rPr>
          <w:sz w:val="20"/>
        </w:rPr>
        <w:t xml:space="preserve">3) иных лиц в случаях, предусмотренных федеральными законами.</w:t>
      </w:r>
    </w:p>
    <w:p>
      <w:pPr>
        <w:pStyle w:val="0"/>
        <w:spacing w:before="200" w:lineRule="auto"/>
        <w:ind w:firstLine="540"/>
        <w:jc w:val="both"/>
      </w:pPr>
      <w:r>
        <w:rPr>
          <w:sz w:val="20"/>
        </w:rPr>
        <w:t xml:space="preserve">128. 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w:t>
      </w:r>
      <w:hyperlink w:history="0" r:id="rId258" w:tooltip="Федеральный конституционный закон от 04.10.2022 N 5-ФКЗ (ред. от 28.12.2025)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с изм. и доп., вступ. в силу с 01.01.2026) {КонсультантПлюс}">
        <w:r>
          <w:rPr>
            <w:sz w:val="20"/>
            <w:color w:val="0000ff"/>
          </w:rPr>
          <w:t xml:space="preserve">N 5-ФКЗ</w:t>
        </w:r>
      </w:hyperlink>
      <w:r>
        <w:rPr>
          <w:sz w:val="20"/>
        </w:rPr>
        <w:t xml:space="preserve">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w:t>
      </w:r>
      <w:hyperlink w:history="0" r:id="rId259" w:tooltip="Федеральный конституционный закон от 04.10.2022 N 6-ФКЗ (ред. от 28.12.2025)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с изм. и доп., вступ. в силу с 01.01.2026) {КонсультантПлюс}">
        <w:r>
          <w:rPr>
            <w:sz w:val="20"/>
            <w:color w:val="0000ff"/>
          </w:rPr>
          <w:t xml:space="preserve">N 6-ФКЗ</w:t>
        </w:r>
      </w:hyperlink>
      <w:r>
        <w:rPr>
          <w:sz w:val="20"/>
        </w:rPr>
        <w:t xml:space="preserve">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w:t>
      </w:r>
      <w:hyperlink w:history="0" r:id="rId260" w:tooltip="Федеральный конституционный закон от 04.10.2022 N 7-ФКЗ (ред. от 28.12.2025) &quot;О принятии в Российскую Федерацию Запорожской области и образовании в составе Российской Федерации нового субъекта - Запорожской области&quot; (с изм. и доп., вступ. в силу с 01.01.2026) {КонсультантПлюс}">
        <w:r>
          <w:rPr>
            <w:sz w:val="20"/>
            <w:color w:val="0000ff"/>
          </w:rPr>
          <w:t xml:space="preserve">N 7-ФКЗ</w:t>
        </w:r>
      </w:hyperlink>
      <w:r>
        <w:rPr>
          <w:sz w:val="20"/>
        </w:rPr>
        <w:t xml:space="preserve">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w:t>
      </w:r>
      <w:hyperlink w:history="0" r:id="rId261"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0"/>
            <w:color w:val="0000ff"/>
          </w:rPr>
          <w:t xml:space="preserve">N 8-ФКЗ</w:t>
        </w:r>
      </w:hyperlink>
      <w:r>
        <w:rPr>
          <w:sz w:val="20"/>
        </w:rPr>
        <w:t xml:space="preserve"> "О принятии в Российскую Федерацию Херсонской области и образовании в составе Российской Федерации нового субъекта - Херсонской области").</w:t>
      </w:r>
    </w:p>
    <w:p>
      <w:pPr>
        <w:pStyle w:val="0"/>
        <w:ind w:firstLine="540"/>
        <w:jc w:val="both"/>
      </w:pPr>
      <w:r>
        <w:rPr>
          <w:sz w:val="20"/>
        </w:rPr>
      </w:r>
    </w:p>
    <w:p>
      <w:pPr>
        <w:pStyle w:val="2"/>
        <w:outlineLvl w:val="2"/>
        <w:ind w:firstLine="540"/>
        <w:jc w:val="both"/>
      </w:pPr>
      <w:hyperlink w:history="0" r:id="rId26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3.2</w:t>
        </w:r>
      </w:hyperlink>
      <w:r>
        <w:rPr>
          <w:sz w:val="20"/>
        </w:rPr>
        <w:t xml:space="preserve">. Транспортные средства</w:t>
      </w:r>
    </w:p>
    <w:p>
      <w:pPr>
        <w:pStyle w:val="0"/>
        <w:spacing w:before="200" w:lineRule="auto"/>
        <w:ind w:firstLine="540"/>
        <w:jc w:val="both"/>
      </w:pPr>
      <w:r>
        <w:rPr>
          <w:sz w:val="20"/>
        </w:rPr>
        <w:t xml:space="preserve">129. В данном </w:t>
      </w:r>
      <w:hyperlink w:history="0" r:id="rId26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w:t>
      </w:r>
      <w:hyperlink w:history="0" r:id="rId26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Также в данном </w:t>
      </w:r>
      <w:hyperlink w:history="0" r:id="rId26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pPr>
        <w:pStyle w:val="0"/>
        <w:spacing w:before="200" w:lineRule="auto"/>
        <w:ind w:firstLine="540"/>
        <w:jc w:val="both"/>
      </w:pPr>
      <w:r>
        <w:rPr>
          <w:sz w:val="20"/>
        </w:rPr>
        <w:t xml:space="preserve">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00" w:lineRule="auto"/>
        <w:ind w:firstLine="540"/>
        <w:jc w:val="both"/>
      </w:pPr>
      <w:r>
        <w:rPr>
          <w:sz w:val="20"/>
        </w:rPr>
        <w:t xml:space="preserve">130. 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w:t>
      </w:r>
      <w:hyperlink w:history="0" r:id="rId266" w:tooltip="Постановление Правительства РФ от 21.12.2019 N 1764 (ред. от 26.08.2025) &quot;О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вместе с &quot;Правилами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quot;) {КонсультантПлюс}">
        <w:r>
          <w:rPr>
            <w:sz w:val="20"/>
            <w:color w:val="0000ff"/>
          </w:rPr>
          <w:t xml:space="preserve">пункт 6</w:t>
        </w:r>
      </w:hyperlink>
      <w:r>
        <w:rPr>
          <w:sz w:val="20"/>
        </w:rPr>
        <w:t xml:space="preserve">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N 1764).</w:t>
      </w:r>
    </w:p>
    <w:p>
      <w:pPr>
        <w:pStyle w:val="0"/>
        <w:spacing w:before="200" w:lineRule="auto"/>
        <w:ind w:firstLine="540"/>
        <w:jc w:val="both"/>
      </w:pPr>
      <w:r>
        <w:rPr>
          <w:sz w:val="20"/>
        </w:rPr>
        <w:t xml:space="preserve">131. 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w:t>
      </w:r>
      <w:hyperlink w:history="0" r:id="rId26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Если на отчетную дату транспортное средство уже было отчуждено, то в </w:t>
      </w:r>
      <w:hyperlink w:history="0" r:id="rId26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w:t>
        </w:r>
      </w:hyperlink>
      <w:r>
        <w:rPr>
          <w:sz w:val="20"/>
        </w:rPr>
        <w:t xml:space="preserve"> справки его отражать не следует. При этом в </w:t>
      </w:r>
      <w:hyperlink w:history="0" r:id="rId26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следует указать доход от продажи транспортного средства, в том числе по схеме "трейд-ин".</w:t>
      </w:r>
    </w:p>
    <w:p>
      <w:pPr>
        <w:pStyle w:val="0"/>
        <w:spacing w:before="200" w:lineRule="auto"/>
        <w:ind w:firstLine="540"/>
        <w:jc w:val="both"/>
      </w:pPr>
      <w:r>
        <w:rPr>
          <w:sz w:val="20"/>
        </w:rPr>
        <w:t xml:space="preserve">132. Указанию также подлежит транспортное средство, полученное в порядке наследования (принято наследство и выдано свидетельство о праве на наследство) или по решению суда (вступило в законную силу).</w:t>
      </w:r>
    </w:p>
    <w:p>
      <w:pPr>
        <w:pStyle w:val="0"/>
        <w:spacing w:before="200" w:lineRule="auto"/>
        <w:ind w:firstLine="540"/>
        <w:jc w:val="both"/>
      </w:pPr>
      <w:r>
        <w:rPr>
          <w:sz w:val="20"/>
        </w:rPr>
        <w:t xml:space="preserve">133. Регистрация транспортных средств носит учетный характер и не служит основанием для возникновения (прекращения) на них права собственности (см. </w:t>
      </w:r>
      <w:hyperlink w:history="0" r:id="rId270" w:tooltip="Определение Судебной коллегии по гражданским делам Верховного Суда Российской Федерации от 16.04.2019 N 18-КГ19-9 Требование: О включении автомобиля в наследственную массу, признании права собственности на автомобиль. Обстоятельства: Наследник ссылается на то, что спорный автомобиль при жизни был снят наследодателем с регистрационного учета с целью продажи, что послужило основанием для отказа в выдаче свидетельства о праве собственности на автомобиль в порядке наследования. Решение: Дело направлено на новое {КонсультантПлюс}">
        <w:r>
          <w:rPr>
            <w:sz w:val="20"/>
            <w:color w:val="0000ff"/>
          </w:rPr>
          <w:t xml:space="preserve">Определение</w:t>
        </w:r>
      </w:hyperlink>
      <w:r>
        <w:rPr>
          <w:sz w:val="20"/>
        </w:rPr>
        <w:t xml:space="preserve"> Судебной коллегии по гражданским делам Верховного Суда Российской Федерации от 16 апреля 2019 г. N 18-КГ19-9). Таким образом, в случае, например, если служащий (работник) до 31 декабря 2025 года включительно продал легковой автомобиль, а новый собственник зарегистрировал такое транспортное средство только в январе 2026 года, то данный объект не подлежит отражению в </w:t>
      </w:r>
      <w:hyperlink w:history="0" r:id="rId27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3.2 раздела 3</w:t>
        </w:r>
      </w:hyperlink>
      <w:r>
        <w:rPr>
          <w:sz w:val="20"/>
        </w:rPr>
        <w:t xml:space="preserve"> справки служащего (работника). При заполнении </w:t>
      </w:r>
      <w:hyperlink w:history="0" r:id="rId27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N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pPr>
        <w:pStyle w:val="0"/>
        <w:spacing w:before="200" w:lineRule="auto"/>
        <w:ind w:firstLine="540"/>
        <w:jc w:val="both"/>
      </w:pPr>
      <w:r>
        <w:rPr>
          <w:sz w:val="20"/>
        </w:rPr>
        <w:t xml:space="preserve">Также допускается указание только кода подразделения ГИБДД в соответствии со свидетельством о регистрации транспортного средства.</w:t>
      </w:r>
    </w:p>
    <w:p>
      <w:pPr>
        <w:pStyle w:val="0"/>
        <w:spacing w:before="200" w:lineRule="auto"/>
        <w:ind w:firstLine="540"/>
        <w:jc w:val="both"/>
      </w:pPr>
      <w:r>
        <w:rPr>
          <w:sz w:val="20"/>
        </w:rPr>
        <w:t xml:space="preserve">В случае отсутствия регистрации допускается указать "Отсутствует".</w:t>
      </w:r>
    </w:p>
    <w:p>
      <w:pPr>
        <w:pStyle w:val="0"/>
        <w:spacing w:before="200" w:lineRule="auto"/>
        <w:ind w:firstLine="540"/>
        <w:jc w:val="both"/>
      </w:pPr>
      <w:r>
        <w:rPr>
          <w:sz w:val="20"/>
        </w:rPr>
        <w:t xml:space="preserve">134. Аналогичным подходом необходимо руководствоваться при указании в данном </w:t>
      </w:r>
      <w:hyperlink w:history="0" r:id="rId27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водного, воздушного транспорта.</w:t>
      </w:r>
    </w:p>
    <w:p>
      <w:pPr>
        <w:pStyle w:val="0"/>
        <w:spacing w:before="200" w:lineRule="auto"/>
        <w:ind w:firstLine="540"/>
        <w:jc w:val="both"/>
      </w:pPr>
      <w:r>
        <w:rPr>
          <w:sz w:val="20"/>
        </w:rPr>
        <w:t xml:space="preserve">135. В </w:t>
      </w:r>
      <w:hyperlink w:history="0" r:id="rId27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"Иные транспортные средства" подлежат указанию, в частности, прицепы, зарегистрированные в установленном порядке.</w:t>
      </w:r>
    </w:p>
    <w:p>
      <w:pPr>
        <w:pStyle w:val="0"/>
        <w:spacing w:before="200" w:lineRule="auto"/>
        <w:ind w:firstLine="540"/>
        <w:jc w:val="both"/>
      </w:pPr>
      <w:r>
        <w:rPr>
          <w:sz w:val="20"/>
        </w:rPr>
        <w:t xml:space="preserve">Подвесной лодочный мотор не является ни объектом недвижимого имущества, ни транспортным средством и в этой связи не подлежит отражению в </w:t>
      </w:r>
      <w:hyperlink w:history="0" r:id="rId27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ind w:firstLine="540"/>
        <w:jc w:val="both"/>
      </w:pPr>
      <w:r>
        <w:rPr>
          <w:sz w:val="20"/>
        </w:rPr>
      </w:r>
    </w:p>
    <w:p>
      <w:pPr>
        <w:pStyle w:val="2"/>
        <w:outlineLvl w:val="2"/>
        <w:ind w:firstLine="540"/>
        <w:jc w:val="both"/>
      </w:pPr>
      <w:hyperlink w:history="0" r:id="rId27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3.3</w:t>
        </w:r>
      </w:hyperlink>
      <w:r>
        <w:rPr>
          <w:sz w:val="20"/>
        </w:rPr>
        <w:t xml:space="preserve">. Цифровые финансовые активы, цифровые права, включающие одновременно цифровые финансовые активы и иные цифровые права</w:t>
      </w:r>
    </w:p>
    <w:p>
      <w:pPr>
        <w:pStyle w:val="0"/>
        <w:spacing w:before="200" w:lineRule="auto"/>
        <w:ind w:firstLine="540"/>
        <w:jc w:val="both"/>
      </w:pPr>
      <w:r>
        <w:rPr>
          <w:sz w:val="20"/>
        </w:rPr>
        <w:t xml:space="preserve">136. В соответствии со </w:t>
      </w:r>
      <w:hyperlink w:history="0" r:id="rId277"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статьей 141.1</w:t>
        </w:r>
      </w:hyperlink>
      <w:r>
        <w:rPr>
          <w:sz w:val="20"/>
        </w:rPr>
        <w:t xml:space="preserve">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pPr>
        <w:pStyle w:val="0"/>
        <w:spacing w:before="200" w:lineRule="auto"/>
        <w:ind w:firstLine="540"/>
        <w:jc w:val="both"/>
      </w:pPr>
      <w:r>
        <w:rPr>
          <w:sz w:val="20"/>
        </w:rPr>
        <w:t xml:space="preserve">137. В соответствии со </w:t>
      </w:r>
      <w:hyperlink w:history="0" r:id="rId278" w:tooltip="Федеральный закон от 31.07.2020 N 259-ФЗ (ред. от 15.12.2025, с изм. от 20.01.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w:t>
      </w:r>
      <w:hyperlink w:history="0" r:id="rId279" w:tooltip="Федеральный закон от 31.07.2020 N 259-ФЗ (ред. от 15.12.2025, с изм. от 20.01.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pPr>
        <w:pStyle w:val="0"/>
        <w:spacing w:before="200" w:lineRule="auto"/>
        <w:ind w:firstLine="540"/>
        <w:jc w:val="both"/>
      </w:pPr>
      <w:r>
        <w:rPr>
          <w:sz w:val="20"/>
        </w:rPr>
        <w:t xml:space="preserve">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w:t>
      </w:r>
      <w:hyperlink w:history="0" r:id="rId280" w:tooltip="Федеральный закон от 31.07.2020 N 259-ФЗ (ред. от 15.12.2025, с изм. от 20.01.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к выпуску, учету и обращению цифровых финансовых активов.</w:t>
      </w:r>
    </w:p>
    <w:p>
      <w:pPr>
        <w:pStyle w:val="0"/>
        <w:spacing w:before="200" w:lineRule="auto"/>
        <w:ind w:firstLine="540"/>
        <w:jc w:val="both"/>
      </w:pPr>
      <w:r>
        <w:rPr>
          <w:sz w:val="20"/>
        </w:rPr>
        <w:t xml:space="preserve">138. Указанию также подлежат цифровые финансовые активы, цифровые права, включающие одновременно цифровые финансовые активы и иные цифровые права, полученные в порядке наследования (принято наследство и выдано свидетельство о праве на наследство) или по решению суда (вступило в законную силу).</w:t>
      </w:r>
    </w:p>
    <w:p>
      <w:pPr>
        <w:pStyle w:val="0"/>
        <w:spacing w:before="200" w:lineRule="auto"/>
        <w:ind w:firstLine="540"/>
        <w:jc w:val="both"/>
      </w:pPr>
      <w:r>
        <w:rPr>
          <w:sz w:val="20"/>
        </w:rPr>
        <w:t xml:space="preserve">139. В </w:t>
      </w:r>
      <w:hyperlink w:history="0" r:id="rId28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140. В </w:t>
      </w:r>
      <w:hyperlink w:history="0" r:id="rId28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pPr>
        <w:pStyle w:val="0"/>
        <w:spacing w:before="200" w:lineRule="auto"/>
        <w:ind w:firstLine="540"/>
        <w:jc w:val="both"/>
      </w:pPr>
      <w:r>
        <w:rPr>
          <w:sz w:val="20"/>
        </w:rPr>
        <w:t xml:space="preserve">141. В </w:t>
      </w:r>
      <w:hyperlink w:history="0" r:id="rId28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pPr>
        <w:pStyle w:val="0"/>
        <w:spacing w:before="200" w:lineRule="auto"/>
        <w:ind w:firstLine="540"/>
        <w:jc w:val="both"/>
      </w:pPr>
      <w:r>
        <w:rPr>
          <w:sz w:val="20"/>
        </w:rPr>
        <w:t xml:space="preserve">142. В </w:t>
      </w:r>
      <w:hyperlink w:history="0" r:id="rId28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143. 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w:t>
      </w:r>
      <w:hyperlink w:history="0" r:id="rId285">
        <w:r>
          <w:rPr>
            <w:sz w:val="20"/>
            <w:color w:val="0000ff"/>
          </w:rPr>
          <w:t xml:space="preserve">https://cbr.ru/admissionfinmarket/navigator/ois/</w:t>
        </w:r>
      </w:hyperlink>
      <w:r>
        <w:rPr>
          <w:sz w:val="20"/>
        </w:rPr>
        <w:t xml:space="preserve">.</w:t>
      </w:r>
    </w:p>
    <w:p>
      <w:pPr>
        <w:pStyle w:val="0"/>
        <w:ind w:firstLine="540"/>
        <w:jc w:val="both"/>
      </w:pPr>
      <w:r>
        <w:rPr>
          <w:sz w:val="20"/>
        </w:rPr>
      </w:r>
    </w:p>
    <w:p>
      <w:pPr>
        <w:pStyle w:val="2"/>
        <w:outlineLvl w:val="2"/>
        <w:ind w:firstLine="540"/>
        <w:jc w:val="both"/>
      </w:pPr>
      <w:hyperlink w:history="0" r:id="rId28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3.4</w:t>
        </w:r>
      </w:hyperlink>
      <w:r>
        <w:rPr>
          <w:sz w:val="20"/>
        </w:rPr>
        <w:t xml:space="preserve">. Утилитарные цифровые права</w:t>
      </w:r>
    </w:p>
    <w:p>
      <w:pPr>
        <w:pStyle w:val="0"/>
        <w:spacing w:before="200" w:lineRule="auto"/>
        <w:ind w:firstLine="540"/>
        <w:jc w:val="both"/>
      </w:pPr>
      <w:r>
        <w:rPr>
          <w:sz w:val="20"/>
        </w:rPr>
        <w:t xml:space="preserve">144. </w:t>
      </w:r>
      <w:hyperlink w:history="0" r:id="rId287"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Частью 1 статьи 8</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w:t>
      </w:r>
      <w:hyperlink w:history="0" r:id="rId288"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частью 5 статьи 11</w:t>
        </w:r>
      </w:hyperlink>
      <w:r>
        <w:rPr>
          <w:sz w:val="20"/>
        </w:rPr>
        <w:t xml:space="preserve"> указанного Федерального закона, могут приобретаться, отчуждаться и осуществляться следующие цифровые права (утилитарные цифровые права):</w:t>
      </w:r>
    </w:p>
    <w:p>
      <w:pPr>
        <w:pStyle w:val="0"/>
        <w:spacing w:before="200" w:lineRule="auto"/>
        <w:ind w:firstLine="540"/>
        <w:jc w:val="both"/>
      </w:pPr>
      <w:r>
        <w:rPr>
          <w:sz w:val="20"/>
        </w:rPr>
        <w:t xml:space="preserve">1) право требовать передачи вещи (вещей) (например, право требования золота в слитках при инвестировании в добычу золота);</w:t>
      </w:r>
    </w:p>
    <w:p>
      <w:pPr>
        <w:pStyle w:val="0"/>
        <w:spacing w:before="200" w:lineRule="auto"/>
        <w:ind w:firstLine="540"/>
        <w:jc w:val="both"/>
      </w:pPr>
      <w:r>
        <w:rPr>
          <w:sz w:val="20"/>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w:t>
      </w:r>
    </w:p>
    <w:p>
      <w:pPr>
        <w:pStyle w:val="0"/>
        <w:spacing w:before="200" w:lineRule="auto"/>
        <w:ind w:firstLine="540"/>
        <w:jc w:val="both"/>
      </w:pPr>
      <w:r>
        <w:rPr>
          <w:sz w:val="20"/>
        </w:rPr>
        <w:t xml:space="preserve">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w:t>
      </w:r>
    </w:p>
    <w:p>
      <w:pPr>
        <w:pStyle w:val="0"/>
        <w:spacing w:before="200" w:lineRule="auto"/>
        <w:ind w:firstLine="540"/>
        <w:jc w:val="both"/>
      </w:pPr>
      <w:r>
        <w:rPr>
          <w:sz w:val="20"/>
        </w:rPr>
        <w:t xml:space="preserve">145. Приобретение утилитарных цифровых прав является одним из способов инвестирования с использованием инвестиционной платформы в соответствии со </w:t>
      </w:r>
      <w:hyperlink w:history="0" r:id="rId289"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статьей 5</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w:t>
      </w:r>
      <w:hyperlink w:history="0" r:id="rId29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раздела 3 справки.</w:t>
      </w:r>
    </w:p>
    <w:p>
      <w:pPr>
        <w:pStyle w:val="0"/>
        <w:spacing w:before="200" w:lineRule="auto"/>
        <w:ind w:firstLine="540"/>
        <w:jc w:val="both"/>
      </w:pPr>
      <w:r>
        <w:rPr>
          <w:sz w:val="20"/>
        </w:rPr>
        <w:t xml:space="preserve">146. Указанию также подлежат утилитарные цифровые права, полученные в порядке наследования (принято наследство и выдано свидетельство о праве на наследство).</w:t>
      </w:r>
    </w:p>
    <w:p>
      <w:pPr>
        <w:pStyle w:val="0"/>
        <w:spacing w:before="200" w:lineRule="auto"/>
        <w:ind w:firstLine="540"/>
        <w:jc w:val="both"/>
      </w:pPr>
      <w:r>
        <w:rPr>
          <w:sz w:val="20"/>
        </w:rPr>
        <w:t xml:space="preserve">147. В </w:t>
      </w:r>
      <w:hyperlink w:history="0" r:id="rId29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"Уникальное условное обозначение" указывается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148. В </w:t>
      </w:r>
      <w:hyperlink w:history="0" r:id="rId29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утилитарного цифрового права.</w:t>
      </w:r>
    </w:p>
    <w:p>
      <w:pPr>
        <w:pStyle w:val="0"/>
        <w:spacing w:before="200" w:lineRule="auto"/>
        <w:ind w:firstLine="540"/>
        <w:jc w:val="both"/>
      </w:pPr>
      <w:r>
        <w:rPr>
          <w:sz w:val="20"/>
        </w:rPr>
        <w:t xml:space="preserve">149. В </w:t>
      </w:r>
      <w:hyperlink w:history="0" r:id="rId29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Под инвестициями в соответствии с </w:t>
      </w:r>
      <w:hyperlink w:history="0" r:id="rId294"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sz w:val="20"/>
            <w:color w:val="0000ff"/>
          </w:rPr>
          <w:t xml:space="preserve">пунктом 2 части 1 статьи 2</w:t>
        </w:r>
      </w:hyperlink>
      <w:r>
        <w:rPr>
          <w:sz w:val="20"/>
        </w:rPr>
        <w:t xml:space="preserve"> Федерального закона от 2 августа 2019 г.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pPr>
        <w:pStyle w:val="0"/>
        <w:spacing w:before="200" w:lineRule="auto"/>
        <w:ind w:firstLine="540"/>
        <w:jc w:val="both"/>
      </w:pPr>
      <w:r>
        <w:rPr>
          <w:sz w:val="20"/>
        </w:rPr>
        <w:t xml:space="preserve">150. В </w:t>
      </w:r>
      <w:hyperlink w:history="0" r:id="rId29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pPr>
        <w:pStyle w:val="0"/>
        <w:spacing w:before="200" w:lineRule="auto"/>
        <w:ind w:firstLine="540"/>
        <w:jc w:val="both"/>
      </w:pPr>
      <w:r>
        <w:rPr>
          <w:sz w:val="20"/>
        </w:rPr>
        <w:t xml:space="preserve">Реестр операторов инвестиционных платформ размещен на официальном сайте Банка России по ссылке: </w:t>
      </w:r>
      <w:hyperlink w:history="0" r:id="rId296">
        <w:r>
          <w:rPr>
            <w:sz w:val="20"/>
            <w:color w:val="0000ff"/>
          </w:rPr>
          <w:t xml:space="preserve">https://cbr.ru/admissionfinmarket/navigator/oip/</w:t>
        </w:r>
      </w:hyperlink>
      <w:r>
        <w:rPr>
          <w:sz w:val="20"/>
        </w:rPr>
        <w:t xml:space="preserve">.</w:t>
      </w:r>
    </w:p>
    <w:p>
      <w:pPr>
        <w:pStyle w:val="0"/>
        <w:ind w:firstLine="540"/>
        <w:jc w:val="both"/>
      </w:pPr>
      <w:r>
        <w:rPr>
          <w:sz w:val="20"/>
        </w:rPr>
      </w:r>
    </w:p>
    <w:p>
      <w:pPr>
        <w:pStyle w:val="2"/>
        <w:outlineLvl w:val="2"/>
        <w:ind w:firstLine="540"/>
        <w:jc w:val="both"/>
      </w:pPr>
      <w:hyperlink w:history="0" r:id="rId29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3.5</w:t>
        </w:r>
      </w:hyperlink>
      <w:r>
        <w:rPr>
          <w:sz w:val="20"/>
        </w:rPr>
        <w:t xml:space="preserve">. Цифровая валюта</w:t>
      </w:r>
    </w:p>
    <w:p>
      <w:pPr>
        <w:pStyle w:val="0"/>
        <w:spacing w:before="200" w:lineRule="auto"/>
        <w:ind w:firstLine="540"/>
        <w:jc w:val="both"/>
      </w:pPr>
      <w:r>
        <w:rPr>
          <w:sz w:val="20"/>
        </w:rPr>
        <w:t xml:space="preserve">151. В соответствии со </w:t>
      </w:r>
      <w:hyperlink w:history="0" r:id="rId298" w:tooltip="Федеральный закон от 31.07.2020 N 259-ФЗ (ред. от 15.12.2025, с изм. от 20.01.2026)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статьей 1</w:t>
        </w:r>
      </w:hyperlink>
      <w:r>
        <w:rPr>
          <w:sz w:val="20"/>
        </w:rP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pPr>
        <w:pStyle w:val="0"/>
        <w:spacing w:before="200" w:lineRule="auto"/>
        <w:ind w:firstLine="540"/>
        <w:jc w:val="both"/>
      </w:pPr>
      <w:r>
        <w:rPr>
          <w:sz w:val="20"/>
        </w:rPr>
        <w:t xml:space="preserve">152. 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pPr>
        <w:pStyle w:val="0"/>
        <w:spacing w:before="200" w:lineRule="auto"/>
        <w:ind w:firstLine="540"/>
        <w:jc w:val="both"/>
      </w:pPr>
      <w:r>
        <w:rPr>
          <w:sz w:val="20"/>
        </w:rPr>
        <w:t xml:space="preserve">153. Примерами цифровой валюты являются: Биткоин (BTC), Эфириум (ETH) и др.</w:t>
      </w:r>
    </w:p>
    <w:p>
      <w:pPr>
        <w:pStyle w:val="0"/>
        <w:spacing w:before="200" w:lineRule="auto"/>
        <w:ind w:firstLine="540"/>
        <w:jc w:val="both"/>
      </w:pPr>
      <w:r>
        <w:rPr>
          <w:sz w:val="20"/>
        </w:rPr>
        <w:t xml:space="preserve">154. Указанию также подлежит цифровая валюта, полученная в порядке наследования (принято наследство и выдано свидетельство о праве на наследство) или по решению суда (вступило в законную силу).</w:t>
      </w:r>
    </w:p>
    <w:p>
      <w:pPr>
        <w:pStyle w:val="0"/>
        <w:spacing w:before="200" w:lineRule="auto"/>
        <w:ind w:firstLine="540"/>
        <w:jc w:val="both"/>
      </w:pPr>
      <w:r>
        <w:rPr>
          <w:sz w:val="20"/>
        </w:rPr>
        <w:t xml:space="preserve">155. В </w:t>
      </w:r>
      <w:hyperlink w:history="0" r:id="rId29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156. В </w:t>
      </w:r>
      <w:hyperlink w:history="0" r:id="rId30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приобретения цифровой валюты.</w:t>
      </w:r>
    </w:p>
    <w:p>
      <w:pPr>
        <w:pStyle w:val="0"/>
        <w:spacing w:before="200" w:lineRule="auto"/>
        <w:ind w:firstLine="540"/>
        <w:jc w:val="both"/>
      </w:pPr>
      <w:r>
        <w:rPr>
          <w:sz w:val="20"/>
        </w:rPr>
        <w:t xml:space="preserve">В отношении цифровой валюты, полученной в результате осуществления майнинга или участия в майнинг-пуле, в </w:t>
      </w:r>
      <w:hyperlink w:history="0" r:id="rId30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приобретения" указывается дата получения цифровой валюты лицом, осуществляющим майнинг цифровой валюты (в том числе участником майнинг-пула).</w:t>
      </w:r>
    </w:p>
    <w:p>
      <w:pPr>
        <w:pStyle w:val="0"/>
        <w:spacing w:before="200" w:lineRule="auto"/>
        <w:ind w:firstLine="540"/>
        <w:jc w:val="both"/>
      </w:pPr>
      <w:r>
        <w:rPr>
          <w:sz w:val="20"/>
        </w:rPr>
        <w:t xml:space="preserve">157. В </w:t>
      </w:r>
      <w:hyperlink w:history="0" r:id="rId30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"Общее количество" указывается точное количество цифровой валюты, находящейся в собственности (без округления).</w:t>
      </w:r>
    </w:p>
    <w:p>
      <w:pPr>
        <w:pStyle w:val="0"/>
        <w:jc w:val="both"/>
      </w:pPr>
      <w:r>
        <w:rPr>
          <w:sz w:val="20"/>
        </w:rPr>
      </w:r>
    </w:p>
    <w:p>
      <w:pPr>
        <w:pStyle w:val="2"/>
        <w:outlineLvl w:val="1"/>
        <w:jc w:val="center"/>
      </w:pPr>
      <w:hyperlink w:history="0" r:id="rId30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4</w:t>
        </w:r>
      </w:hyperlink>
      <w:r>
        <w:rPr>
          <w:sz w:val="20"/>
        </w:rPr>
        <w:t xml:space="preserve">. СВЕДЕНИЯ О СЧЕТАХ В БАНКАХ И ИНЫХ</w:t>
      </w:r>
    </w:p>
    <w:p>
      <w:pPr>
        <w:pStyle w:val="2"/>
        <w:jc w:val="center"/>
      </w:pPr>
      <w:r>
        <w:rPr>
          <w:sz w:val="20"/>
        </w:rPr>
        <w:t xml:space="preserve">КРЕДИТНЫХ ОРГАНИЗАЦИЯХ</w:t>
      </w:r>
    </w:p>
    <w:p>
      <w:pPr>
        <w:pStyle w:val="0"/>
        <w:jc w:val="both"/>
      </w:pPr>
      <w:r>
        <w:rPr>
          <w:sz w:val="20"/>
        </w:rPr>
      </w:r>
    </w:p>
    <w:p>
      <w:pPr>
        <w:pStyle w:val="0"/>
        <w:ind w:firstLine="540"/>
        <w:jc w:val="both"/>
      </w:pPr>
      <w:r>
        <w:rPr>
          <w:sz w:val="20"/>
        </w:rPr>
        <w:t xml:space="preserve">158. В данном </w:t>
      </w:r>
      <w:hyperlink w:history="0" r:id="rId30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w:t>
      </w:r>
      <w:hyperlink w:history="0" r:id="rId30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Информация о счетах, закрытых по состоянию на отчетную дату, не подлежит отражению в </w:t>
      </w:r>
      <w:hyperlink w:history="0" r:id="rId30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w:t>
      </w:r>
    </w:p>
    <w:p>
      <w:pPr>
        <w:pStyle w:val="0"/>
        <w:spacing w:before="200" w:lineRule="auto"/>
        <w:ind w:firstLine="540"/>
        <w:jc w:val="both"/>
      </w:pPr>
      <w:r>
        <w:rPr>
          <w:sz w:val="20"/>
        </w:rPr>
        <w:t xml:space="preserve">В данном </w:t>
      </w:r>
      <w:hyperlink w:history="0" r:id="rId30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w:t>
      </w:r>
      <w:hyperlink w:history="0" r:id="rId30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4</w:t>
        </w:r>
      </w:hyperlink>
      <w:r>
        <w:rPr>
          <w:sz w:val="20"/>
        </w:rPr>
        <w:t xml:space="preserve"> справки не усматриваются. Карта может быть не привязана к счету, например, при открытии "Пушкинской карты" и др.</w:t>
      </w:r>
    </w:p>
    <w:p>
      <w:pPr>
        <w:pStyle w:val="0"/>
        <w:spacing w:before="200" w:lineRule="auto"/>
        <w:ind w:firstLine="540"/>
        <w:jc w:val="both"/>
      </w:pPr>
      <w:r>
        <w:rPr>
          <w:sz w:val="20"/>
        </w:rPr>
        <w:t xml:space="preserve">Счета (вклады), открытые в иностранных банках (иных кредитных организациях), также указываются в </w:t>
      </w:r>
      <w:hyperlink w:history="0" r:id="rId30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 с учетом применимого регулирования (например, такие счета могут иметь иной вид счета, отличный от "Текущего" или "Депозитного").</w:t>
      </w:r>
    </w:p>
    <w:bookmarkStart w:id="594" w:name="P594"/>
    <w:bookmarkEnd w:id="594"/>
    <w:p>
      <w:pPr>
        <w:pStyle w:val="0"/>
        <w:spacing w:before="200" w:lineRule="auto"/>
        <w:ind w:firstLine="540"/>
        <w:jc w:val="both"/>
      </w:pPr>
      <w:r>
        <w:rPr>
          <w:sz w:val="20"/>
        </w:rPr>
        <w:t xml:space="preserve">159. В частности, подлежит указанию информация о следующих открытых счетах (в том числе о счетах, к которым не эмитированы (не выпущены) платежные карты):</w:t>
      </w:r>
    </w:p>
    <w:p>
      <w:pPr>
        <w:pStyle w:val="0"/>
        <w:spacing w:before="200" w:lineRule="auto"/>
        <w:ind w:firstLine="540"/>
        <w:jc w:val="both"/>
      </w:pPr>
      <w:r>
        <w:rPr>
          <w:sz w:val="20"/>
        </w:rPr>
        <w:t xml:space="preserve">1) счета с нулевым остатком по состоянию на отчетную дату;</w:t>
      </w:r>
    </w:p>
    <w:p>
      <w:pPr>
        <w:pStyle w:val="0"/>
        <w:spacing w:before="200" w:lineRule="auto"/>
        <w:ind w:firstLine="540"/>
        <w:jc w:val="both"/>
      </w:pPr>
      <w:r>
        <w:rPr>
          <w:sz w:val="20"/>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pPr>
        <w:pStyle w:val="0"/>
        <w:spacing w:before="200" w:lineRule="auto"/>
        <w:ind w:firstLine="540"/>
        <w:jc w:val="both"/>
      </w:pPr>
      <w:r>
        <w:rPr>
          <w:sz w:val="20"/>
        </w:rPr>
        <w:t xml:space="preserve">3) счета (вклады) в иностранных банках, расположенных за пределами Российской Федерации.</w:t>
      </w:r>
    </w:p>
    <w:p>
      <w:pPr>
        <w:pStyle w:val="0"/>
        <w:spacing w:before="200" w:lineRule="auto"/>
        <w:ind w:firstLine="540"/>
        <w:jc w:val="both"/>
      </w:pPr>
      <w:r>
        <w:rPr>
          <w:sz w:val="20"/>
        </w:rPr>
        <w:t xml:space="preserve">При наличии счетов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w:t>
      </w:r>
      <w:hyperlink w:history="0" r:id="rId310"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закона</w:t>
        </w:r>
      </w:hyperlink>
      <w:r>
        <w:rPr>
          <w:sz w:val="20"/>
        </w:rPr>
        <w:t xml:space="preserve"> от 7 мая 2013 г. N 79-ФЗ;</w:t>
      </w:r>
    </w:p>
    <w:p>
      <w:pPr>
        <w:pStyle w:val="0"/>
        <w:spacing w:before="200" w:lineRule="auto"/>
        <w:ind w:firstLine="540"/>
        <w:jc w:val="both"/>
      </w:pPr>
      <w:r>
        <w:rPr>
          <w:sz w:val="20"/>
        </w:rPr>
        <w:t xml:space="preserve">4) счета, открытые для погашения кредита;</w:t>
      </w:r>
    </w:p>
    <w:p>
      <w:pPr>
        <w:pStyle w:val="0"/>
        <w:spacing w:before="200" w:lineRule="auto"/>
        <w:ind w:firstLine="540"/>
        <w:jc w:val="both"/>
      </w:pPr>
      <w:r>
        <w:rPr>
          <w:sz w:val="20"/>
        </w:rPr>
        <w:t xml:space="preserve">5) вклады (счета) в драгоценных металлах (в том числе указывается вид счета и металл, в котором он открыт);</w:t>
      </w:r>
    </w:p>
    <w:p>
      <w:pPr>
        <w:pStyle w:val="0"/>
        <w:spacing w:before="200" w:lineRule="auto"/>
        <w:ind w:firstLine="540"/>
        <w:jc w:val="both"/>
      </w:pPr>
      <w:r>
        <w:rPr>
          <w:sz w:val="20"/>
        </w:rPr>
        <w:t xml:space="preserve">6) счета, открытые гражданам, зарегистрированным в качестве индивидуальных предпринимателей, и гражданам, занимающимся в установленном законодательством Российской Федерации порядке частной практикой;</w:t>
      </w:r>
    </w:p>
    <w:p>
      <w:pPr>
        <w:pStyle w:val="0"/>
        <w:spacing w:before="200" w:lineRule="auto"/>
        <w:ind w:firstLine="540"/>
        <w:jc w:val="both"/>
      </w:pPr>
      <w:r>
        <w:rPr>
          <w:sz w:val="20"/>
        </w:rPr>
        <w:t xml:space="preserve">7) номинальный счет;</w:t>
      </w:r>
    </w:p>
    <w:p>
      <w:pPr>
        <w:pStyle w:val="0"/>
        <w:spacing w:before="200" w:lineRule="auto"/>
        <w:ind w:firstLine="540"/>
        <w:jc w:val="both"/>
      </w:pPr>
      <w:r>
        <w:rPr>
          <w:sz w:val="20"/>
        </w:rPr>
        <w:t xml:space="preserve">8) счет эскроу;</w:t>
      </w:r>
    </w:p>
    <w:p>
      <w:pPr>
        <w:pStyle w:val="0"/>
        <w:spacing w:before="200" w:lineRule="auto"/>
        <w:ind w:firstLine="540"/>
        <w:jc w:val="both"/>
      </w:pPr>
      <w:r>
        <w:rPr>
          <w:sz w:val="20"/>
        </w:rPr>
        <w:t xml:space="preserve">9) счет цифрового рубля.</w:t>
      </w:r>
    </w:p>
    <w:p>
      <w:pPr>
        <w:pStyle w:val="0"/>
        <w:spacing w:before="200" w:lineRule="auto"/>
        <w:ind w:firstLine="540"/>
        <w:jc w:val="both"/>
      </w:pPr>
      <w:r>
        <w:rPr>
          <w:sz w:val="20"/>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pPr>
        <w:pStyle w:val="0"/>
        <w:spacing w:before="200" w:lineRule="auto"/>
        <w:ind w:firstLine="540"/>
        <w:jc w:val="both"/>
      </w:pPr>
      <w:r>
        <w:rPr>
          <w:sz w:val="20"/>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w:history="0" r:id="rId311">
        <w:r>
          <w:rPr>
            <w:sz w:val="20"/>
            <w:color w:val="0000ff"/>
          </w:rPr>
          <w:t xml:space="preserve">https://www.cbr.ru/hd_base/metall/metall_base_new/</w:t>
        </w:r>
      </w:hyperlink>
      <w:r>
        <w:rPr>
          <w:sz w:val="20"/>
        </w:rPr>
        <w:t xml:space="preserve">.</w:t>
      </w:r>
    </w:p>
    <w:bookmarkStart w:id="607" w:name="P607"/>
    <w:bookmarkEnd w:id="607"/>
    <w:p>
      <w:pPr>
        <w:pStyle w:val="0"/>
        <w:spacing w:before="200" w:lineRule="auto"/>
        <w:ind w:firstLine="540"/>
        <w:jc w:val="both"/>
      </w:pPr>
      <w:r>
        <w:rPr>
          <w:sz w:val="20"/>
        </w:rPr>
        <w:t xml:space="preserve">160. С учетом целей антикоррупционного законодательства Российской Федерации в данном </w:t>
      </w:r>
      <w:hyperlink w:history="0" r:id="rId31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 следующие счета:</w:t>
      </w:r>
    </w:p>
    <w:p>
      <w:pPr>
        <w:pStyle w:val="0"/>
        <w:spacing w:before="200" w:lineRule="auto"/>
        <w:ind w:firstLine="540"/>
        <w:jc w:val="both"/>
      </w:pPr>
      <w:r>
        <w:rPr>
          <w:sz w:val="20"/>
        </w:rPr>
        <w:t xml:space="preserve">1) счета, закрытые по состоянию на отчетную дату;</w:t>
      </w:r>
    </w:p>
    <w:p>
      <w:pPr>
        <w:pStyle w:val="0"/>
        <w:spacing w:before="200" w:lineRule="auto"/>
        <w:ind w:firstLine="540"/>
        <w:jc w:val="both"/>
      </w:pPr>
      <w:r>
        <w:rPr>
          <w:sz w:val="20"/>
        </w:rPr>
        <w:t xml:space="preserve">2) специальные избирательные счета, открытые в соответствии с Федеральным </w:t>
      </w:r>
      <w:hyperlink w:history="0" r:id="rId313" w:tooltip="Федеральный закон от 12.06.2002 N 67-ФЗ (ред. от 02.05.2026)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3) публичные депозитные счета нотариуса;</w:t>
      </w:r>
    </w:p>
    <w:p>
      <w:pPr>
        <w:pStyle w:val="0"/>
        <w:spacing w:before="200" w:lineRule="auto"/>
        <w:ind w:firstLine="540"/>
        <w:jc w:val="both"/>
      </w:pPr>
      <w:r>
        <w:rPr>
          <w:sz w:val="20"/>
        </w:rPr>
        <w:t xml:space="preserve">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pPr>
        <w:pStyle w:val="0"/>
        <w:spacing w:before="200" w:lineRule="auto"/>
        <w:ind w:firstLine="540"/>
        <w:jc w:val="both"/>
      </w:pPr>
      <w:r>
        <w:rPr>
          <w:sz w:val="20"/>
        </w:rPr>
        <w:t xml:space="preserve">5) счета доверительного управления;</w:t>
      </w:r>
    </w:p>
    <w:p>
      <w:pPr>
        <w:pStyle w:val="0"/>
        <w:spacing w:before="200" w:lineRule="auto"/>
        <w:ind w:firstLine="540"/>
        <w:jc w:val="both"/>
      </w:pPr>
      <w:r>
        <w:rPr>
          <w:sz w:val="20"/>
        </w:rPr>
        <w:t xml:space="preserve">6) открываемые не на основании гражданско-правового договора счета, счета депо, счета брокера, индивидуальные инвестиционные счета;</w:t>
      </w:r>
    </w:p>
    <w:p>
      <w:pPr>
        <w:pStyle w:val="0"/>
        <w:spacing w:before="200" w:lineRule="auto"/>
        <w:ind w:firstLine="540"/>
        <w:jc w:val="both"/>
      </w:pPr>
      <w:r>
        <w:rPr>
          <w:sz w:val="20"/>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w:t>
      </w:r>
      <w:hyperlink w:history="0" r:id="rId31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случае, предусмотренном </w:t>
      </w:r>
      <w:hyperlink w:history="0" w:anchor="P834" w:tooltip="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
        <w:r>
          <w:rPr>
            <w:sz w:val="20"/>
            <w:color w:val="0000ff"/>
          </w:rPr>
          <w:t xml:space="preserve">подпунктом 4 пункта 217</w:t>
        </w:r>
      </w:hyperlink>
      <w:r>
        <w:rPr>
          <w:sz w:val="20"/>
        </w:rPr>
        <w:t xml:space="preserve"> настоящих Методических рекомендаций.</w:t>
      </w:r>
    </w:p>
    <w:p>
      <w:pPr>
        <w:pStyle w:val="0"/>
        <w:spacing w:before="200" w:lineRule="auto"/>
        <w:ind w:firstLine="540"/>
        <w:jc w:val="both"/>
      </w:pPr>
      <w:r>
        <w:rPr>
          <w:sz w:val="20"/>
        </w:rPr>
        <w:t xml:space="preserve">7) синтетические счета.</w:t>
      </w:r>
    </w:p>
    <w:p>
      <w:pPr>
        <w:pStyle w:val="0"/>
        <w:spacing w:before="200" w:lineRule="auto"/>
        <w:ind w:firstLine="540"/>
        <w:jc w:val="both"/>
      </w:pPr>
      <w:r>
        <w:rPr>
          <w:sz w:val="20"/>
        </w:rPr>
        <w:t xml:space="preserve">161. 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w:t>
      </w:r>
      <w:hyperlink w:history="0" r:id="rId315"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Данное </w:t>
      </w:r>
      <w:hyperlink w:history="0" r:id="rId316"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w:t>
        </w:r>
      </w:hyperlink>
      <w:r>
        <w:rPr>
          <w:sz w:val="20"/>
        </w:rPr>
        <w:t xml:space="preserve">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pPr>
        <w:pStyle w:val="0"/>
        <w:spacing w:before="200" w:lineRule="auto"/>
        <w:ind w:firstLine="540"/>
        <w:jc w:val="both"/>
      </w:pPr>
      <w:r>
        <w:rPr>
          <w:sz w:val="20"/>
        </w:rPr>
        <w:t xml:space="preserve">В этой связи рекомендуется заполнять данный </w:t>
      </w:r>
      <w:hyperlink w:history="0" r:id="rId31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w:t>
        </w:r>
      </w:hyperlink>
      <w:r>
        <w:rPr>
          <w:sz w:val="20"/>
        </w:rPr>
        <w:t xml:space="preserve"> справки на основании информации, полученной в рамках </w:t>
      </w:r>
      <w:hyperlink w:history="0" r:id="rId318"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которая является официальной.</w:t>
      </w:r>
    </w:p>
    <w:p>
      <w:pPr>
        <w:pStyle w:val="0"/>
        <w:spacing w:before="200" w:lineRule="auto"/>
        <w:ind w:firstLine="540"/>
        <w:jc w:val="both"/>
      </w:pPr>
      <w:r>
        <w:rPr>
          <w:sz w:val="20"/>
        </w:rPr>
        <w:t xml:space="preserve">Для счета цифрового рубля информацию целесообразно получать непосредственно у Банка России, который открывает такой счет.</w:t>
      </w:r>
    </w:p>
    <w:p>
      <w:pPr>
        <w:pStyle w:val="0"/>
        <w:spacing w:before="200" w:lineRule="auto"/>
        <w:ind w:firstLine="540"/>
        <w:jc w:val="both"/>
      </w:pPr>
      <w:r>
        <w:rPr>
          <w:sz w:val="20"/>
        </w:rPr>
        <w:t xml:space="preserve">162. В </w:t>
      </w:r>
      <w:hyperlink w:history="0" r:id="rId31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pPr>
        <w:pStyle w:val="0"/>
        <w:spacing w:before="200" w:lineRule="auto"/>
        <w:ind w:firstLine="540"/>
        <w:jc w:val="both"/>
      </w:pPr>
      <w:r>
        <w:rPr>
          <w:sz w:val="20"/>
        </w:rPr>
        <w:t xml:space="preserve">Поскольку счет цифрового рубля открывается исключительно Банком России, то в отношении такого счета указывается "Банк России, 107016, Москва, ул. Неглинная, д. 12, к. В.".</w:t>
      </w:r>
    </w:p>
    <w:p>
      <w:pPr>
        <w:pStyle w:val="0"/>
        <w:spacing w:before="200" w:lineRule="auto"/>
        <w:ind w:firstLine="540"/>
        <w:jc w:val="both"/>
      </w:pPr>
      <w:r>
        <w:rPr>
          <w:sz w:val="20"/>
        </w:rPr>
        <w:t xml:space="preserve">163. В </w:t>
      </w:r>
      <w:hyperlink w:history="0" r:id="rId32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валюта счета" вид счета указывается с учетом норм Гражданского </w:t>
      </w:r>
      <w:hyperlink w:history="0" r:id="rId321"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кодекса</w:t>
        </w:r>
      </w:hyperlink>
      <w:r>
        <w:rPr>
          <w:sz w:val="20"/>
        </w:rPr>
        <w:t xml:space="preserve"> Российской Федерации, иных федеральных законов и </w:t>
      </w:r>
      <w:hyperlink w:history="0" r:id="rId322" w:tooltip="Инструкция Банка России от 30.06.2021 N 204-И (ред. от 27.12.2024)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0"/>
            <w:color w:val="0000ff"/>
          </w:rPr>
          <w:t xml:space="preserve">Инструкции</w:t>
        </w:r>
      </w:hyperlink>
      <w:r>
        <w:rPr>
          <w:sz w:val="20"/>
        </w:rPr>
        <w:t xml:space="preserve"> Банка России от 30 июня 2021 г. N 204-И "Об открытии, ведении и закрытии банковских счетов, счетов по вкладам (депозитам)".</w:t>
      </w:r>
    </w:p>
    <w:p>
      <w:pPr>
        <w:pStyle w:val="0"/>
        <w:spacing w:before="200" w:lineRule="auto"/>
        <w:ind w:firstLine="540"/>
        <w:jc w:val="both"/>
      </w:pPr>
      <w:r>
        <w:rPr>
          <w:sz w:val="20"/>
        </w:rPr>
        <w:t xml:space="preserve">164. В соответствии с указанной </w:t>
      </w:r>
      <w:hyperlink w:history="0" r:id="rId323" w:tooltip="Инструкция Банка России от 30.06.2021 N 204-И (ред. от 27.12.2024)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0"/>
            <w:color w:val="0000ff"/>
          </w:rPr>
          <w:t xml:space="preserve">Инструкцией</w:t>
        </w:r>
      </w:hyperlink>
      <w:r>
        <w:rPr>
          <w:sz w:val="20"/>
        </w:rPr>
        <w:t xml:space="preserve"> и с учетом </w:t>
      </w:r>
      <w:hyperlink w:history="0" w:anchor="P594" w:tooltip="159. В частности, подлежит указанию информация о следующих открытых счетах (в том числе о счетах, к которым не эмитированы (не выпущены) платежные карты):">
        <w:r>
          <w:rPr>
            <w:sz w:val="20"/>
            <w:color w:val="0000ff"/>
          </w:rPr>
          <w:t xml:space="preserve">пунктов 159</w:t>
        </w:r>
      </w:hyperlink>
      <w:r>
        <w:rPr>
          <w:sz w:val="20"/>
        </w:rPr>
        <w:t xml:space="preserve"> и </w:t>
      </w:r>
      <w:hyperlink w:history="0" w:anchor="P607" w:tooltip="160. С учетом целей антикоррупционного законодательства Российской Федерации в данном разделе не указываются следующие счета:">
        <w:r>
          <w:rPr>
            <w:sz w:val="20"/>
            <w:color w:val="0000ff"/>
          </w:rPr>
          <w:t xml:space="preserve">160</w:t>
        </w:r>
      </w:hyperlink>
      <w:r>
        <w:rPr>
          <w:sz w:val="20"/>
        </w:rPr>
        <w:t xml:space="preserve"> настоящих Методических рекомендаций физическим лицам открываются следующие применимые для целей представления Сведений счета:</w:t>
      </w:r>
    </w:p>
    <w:p>
      <w:pPr>
        <w:pStyle w:val="0"/>
        <w:spacing w:before="200" w:lineRule="auto"/>
        <w:ind w:firstLine="540"/>
        <w:jc w:val="both"/>
      </w:pPr>
      <w:r>
        <w:rPr>
          <w:sz w:val="20"/>
        </w:rPr>
        <w:t xml:space="preserve">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pPr>
        <w:pStyle w:val="0"/>
        <w:spacing w:before="200" w:lineRule="auto"/>
        <w:ind w:firstLine="540"/>
        <w:jc w:val="both"/>
      </w:pPr>
      <w:r>
        <w:rPr>
          <w:sz w:val="20"/>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w:t>
      </w:r>
      <w:hyperlink w:history="0" r:id="rId32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Счет такой карты, как правило, текущий;</w:t>
      </w:r>
    </w:p>
    <w:p>
      <w:pPr>
        <w:pStyle w:val="0"/>
        <w:spacing w:before="200" w:lineRule="auto"/>
        <w:ind w:firstLine="540"/>
        <w:jc w:val="both"/>
      </w:pPr>
      <w:r>
        <w:rPr>
          <w:sz w:val="20"/>
        </w:rPr>
        <w:t xml:space="preserve">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pPr>
        <w:pStyle w:val="0"/>
        <w:spacing w:before="200" w:lineRule="auto"/>
        <w:ind w:firstLine="540"/>
        <w:jc w:val="both"/>
      </w:pPr>
      <w:r>
        <w:rPr>
          <w:sz w:val="20"/>
        </w:rPr>
        <w:t xml:space="preserve">3) расчетные счета, открываемые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с частной практикой.</w:t>
      </w:r>
    </w:p>
    <w:p>
      <w:pPr>
        <w:pStyle w:val="0"/>
        <w:spacing w:before="200" w:lineRule="auto"/>
        <w:ind w:firstLine="540"/>
        <w:jc w:val="both"/>
      </w:pPr>
      <w:r>
        <w:rPr>
          <w:sz w:val="20"/>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w:t>
      </w:r>
      <w:hyperlink w:history="0" r:id="rId32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как "Депозитный".</w:t>
      </w:r>
    </w:p>
    <w:p>
      <w:pPr>
        <w:pStyle w:val="0"/>
        <w:spacing w:before="200" w:lineRule="auto"/>
        <w:ind w:firstLine="540"/>
        <w:jc w:val="both"/>
      </w:pPr>
      <w:r>
        <w:rPr>
          <w:sz w:val="20"/>
        </w:rPr>
        <w:t xml:space="preserve">165. В </w:t>
      </w:r>
      <w:hyperlink w:history="0" r:id="rId32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"Дата открытия счета" не допускается указание даты выпуска (перевыпуска) платежной карты.</w:t>
      </w:r>
    </w:p>
    <w:p>
      <w:pPr>
        <w:pStyle w:val="0"/>
        <w:spacing w:before="200" w:lineRule="auto"/>
        <w:ind w:firstLine="540"/>
        <w:jc w:val="both"/>
      </w:pPr>
      <w:r>
        <w:rPr>
          <w:sz w:val="20"/>
        </w:rPr>
        <w:t xml:space="preserve">166. </w:t>
      </w:r>
      <w:hyperlink w:history="0" r:id="rId32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"Остаток на счете (руб.)" заполняется по состоянию на отчетную дату.</w:t>
      </w:r>
    </w:p>
    <w:p>
      <w:pPr>
        <w:pStyle w:val="0"/>
        <w:spacing w:before="200" w:lineRule="auto"/>
        <w:ind w:firstLine="540"/>
        <w:jc w:val="both"/>
      </w:pPr>
      <w:r>
        <w:rPr>
          <w:sz w:val="20"/>
        </w:rPr>
        <w:t xml:space="preserve">В сумму остатка не включаются денежные средства, в отношении которых в соответствии с </w:t>
      </w:r>
      <w:hyperlink w:history="0" r:id="rId328" w:tooltip="&quot;Гражданский кодекс Российской Федерации (часть вторая)&quot; от 26.01.1996 N 14-ФЗ (ред. от 24.06.2025, с изм. от 16.12.2025) {КонсультантПлюс}">
        <w:r>
          <w:rPr>
            <w:sz w:val="20"/>
            <w:color w:val="0000ff"/>
          </w:rPr>
          <w:t xml:space="preserve">пунктом 4 статьи 845</w:t>
        </w:r>
      </w:hyperlink>
      <w:r>
        <w:rPr>
          <w:sz w:val="20"/>
        </w:rPr>
        <w:t xml:space="preserve"> Гражданского кодекса Российской Федерации подтверждена возможность исполнения распоряжения клиента о списании денежных средств.</w:t>
      </w:r>
    </w:p>
    <w:p>
      <w:pPr>
        <w:pStyle w:val="0"/>
        <w:spacing w:before="200" w:lineRule="auto"/>
        <w:ind w:firstLine="540"/>
        <w:jc w:val="both"/>
      </w:pPr>
      <w:r>
        <w:rPr>
          <w:sz w:val="20"/>
        </w:rPr>
        <w:t xml:space="preserve">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w:t>
      </w:r>
      <w:hyperlink w:history="0" r:id="rId32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"Остаток на счете (руб.)" раздела 4 справки в полном объеме.</w:t>
      </w:r>
    </w:p>
    <w:p>
      <w:pPr>
        <w:pStyle w:val="0"/>
        <w:spacing w:before="200" w:lineRule="auto"/>
        <w:ind w:firstLine="540"/>
        <w:jc w:val="both"/>
      </w:pPr>
      <w:r>
        <w:rPr>
          <w:sz w:val="20"/>
        </w:rPr>
        <w:t xml:space="preserve">Для счетов в иностранной валюте остаток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w:t>
      </w:r>
      <w:hyperlink w:history="0" r:id="rId330" w:tooltip="Указание Банка России от 10.07.2024 N 6799-У &quot;О перечне и видах драгоценных металлов, в отношении которых устанавливаются учетные цены, и порядке установления учетных цен на драгоценные металлы&quot; (Зарегистрировано в Минюсте России 27.09.2024 N 79607) {КонсультантПлюс}">
        <w:r>
          <w:rPr>
            <w:sz w:val="20"/>
            <w:color w:val="0000ff"/>
          </w:rPr>
          <w:t xml:space="preserve">Указанием</w:t>
        </w:r>
      </w:hyperlink>
      <w:r>
        <w:rPr>
          <w:sz w:val="20"/>
        </w:rPr>
        <w:t xml:space="preserve"> Банка России от 10 июля 2024 г. N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pPr>
        <w:pStyle w:val="0"/>
        <w:spacing w:before="200" w:lineRule="auto"/>
        <w:ind w:firstLine="540"/>
        <w:jc w:val="both"/>
      </w:pPr>
      <w:r>
        <w:rPr>
          <w:sz w:val="20"/>
        </w:rPr>
        <w:t xml:space="preserve">167. </w:t>
      </w:r>
      <w:hyperlink w:history="0" r:id="rId33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2026 году </w:t>
      </w:r>
      <w:hyperlink w:history="0" r:id="rId33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заполняется в отношении всех счетов, указанных в каждой отдельной </w:t>
      </w:r>
      <w:hyperlink w:history="0" r:id="rId33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представленной в отношении служащего (работника), его супруги (супруга) или несовершеннолетних детей (т.е. открытых по состоянию на отчетную дату), в случае, если сумма денежных средств, поступивших на такие счета в 2025 году, превышает общий доход служащего (работника), его супруги (супруга) и несовершеннолетних детей за 2023, 2024 и 2025 годы (в таком случае в отношении каждого счета указывается сумма поступивших на него в 2025 году денежных средств).</w:t>
      </w:r>
    </w:p>
    <w:p>
      <w:pPr>
        <w:pStyle w:val="0"/>
        <w:spacing w:before="200" w:lineRule="auto"/>
        <w:ind w:firstLine="540"/>
        <w:jc w:val="both"/>
      </w:pPr>
      <w:r>
        <w:rPr>
          <w:sz w:val="20"/>
        </w:rPr>
        <w:t xml:space="preserve">По счету в драгоценных металлах данная </w:t>
      </w:r>
      <w:hyperlink w:history="0" r:id="rId33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В случае если общая сумма денежных средств, поступивших на счета за отчетный период, не превышает общий доход служащего (работника), его супруги (супруга)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Pr>
          <w:position w:val="-10"/>
        </w:rPr>
        <w:drawing>
          <wp:inline distT="0" distB="0" distL="0" distR="0">
            <wp:extent cx="2381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5">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Pr>
          <w:sz w:val="20"/>
        </w:rPr>
        <w:t xml:space="preserve"> напротив соответствующей позиции. В противном случае необходимо заполнить соответствующие графы в отношении всех счетов, указываемых в </w:t>
      </w:r>
      <w:hyperlink w:history="0" r:id="rId33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отдельного лица.</w:t>
      </w:r>
    </w:p>
    <w:p>
      <w:pPr>
        <w:pStyle w:val="0"/>
        <w:spacing w:before="200" w:lineRule="auto"/>
        <w:ind w:firstLine="540"/>
        <w:jc w:val="both"/>
      </w:pPr>
      <w:r>
        <w:rPr>
          <w:sz w:val="20"/>
        </w:rPr>
        <w:t xml:space="preserve">168. При расчете общего дохода служащего (работника), его супруги (супруга) и несовершеннолетних детей за отчетный период и два предшествующих ему года, при расчете общего дохода учитываются доходы супруги (супруга) служащего (работника), полученные в период нахождения в браке (аналогично в отношении доходов служащего (работника).</w:t>
      </w:r>
    </w:p>
    <w:p>
      <w:pPr>
        <w:pStyle w:val="0"/>
        <w:spacing w:before="200" w:lineRule="auto"/>
        <w:ind w:firstLine="540"/>
        <w:jc w:val="both"/>
      </w:pPr>
      <w:r>
        <w:rPr>
          <w:sz w:val="20"/>
        </w:rPr>
        <w:t xml:space="preserve">Также учету подлежат доходы ребенка, полученные им в соответствующий трехлетний период и до достижения совершеннолетия.</w:t>
      </w:r>
    </w:p>
    <w:p>
      <w:pPr>
        <w:pStyle w:val="0"/>
        <w:spacing w:before="200" w:lineRule="auto"/>
        <w:ind w:firstLine="540"/>
        <w:jc w:val="both"/>
      </w:pPr>
      <w:r>
        <w:rPr>
          <w:sz w:val="20"/>
        </w:rPr>
        <w:t xml:space="preserve">Лица, представляющие Сведения не в рамках декларационной кампании, в случае наличия оснований также заполняют данную </w:t>
      </w:r>
      <w:hyperlink w:history="0" r:id="rId33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 Так, например, для лиц, указанных в </w:t>
      </w:r>
      <w:hyperlink w:history="0" w:anchor="P35" w:tooltip="2. Сведения о доходах, об имуществе и обязательствах имущественного характера представляются гражданином, претендующим на замещение (далее - гражданин):">
        <w:r>
          <w:rPr>
            <w:sz w:val="20"/>
            <w:color w:val="0000ff"/>
          </w:rPr>
          <w:t xml:space="preserve">пункте 2</w:t>
        </w:r>
      </w:hyperlink>
      <w:r>
        <w:rPr>
          <w:sz w:val="20"/>
        </w:rPr>
        <w:t xml:space="preserve"> настоящих Методических рекомендаций, впервые начинающих трудовую деятельность, например, после получения высшего образования, </w:t>
      </w:r>
      <w:hyperlink w:history="0" r:id="rId33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часто подлежит заполнению в связи с незначительными доходами в предыдущие годы.</w:t>
      </w:r>
    </w:p>
    <w:p>
      <w:pPr>
        <w:pStyle w:val="0"/>
        <w:spacing w:before="200" w:lineRule="auto"/>
        <w:ind w:firstLine="540"/>
        <w:jc w:val="both"/>
      </w:pPr>
      <w:r>
        <w:rPr>
          <w:sz w:val="20"/>
        </w:rPr>
        <w:t xml:space="preserve">Для счетов в иностранной валюте сумма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169. Отдельные аспекты заполнения </w:t>
      </w:r>
      <w:hyperlink w:history="0" r:id="rId33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w:t>
      </w:r>
    </w:p>
    <w:p>
      <w:pPr>
        <w:pStyle w:val="0"/>
        <w:spacing w:before="200" w:lineRule="auto"/>
        <w:ind w:firstLine="540"/>
        <w:jc w:val="both"/>
      </w:pPr>
      <w:r>
        <w:rPr>
          <w:sz w:val="20"/>
        </w:rPr>
        <w:t xml:space="preserve">1) с общим доходом служащего (работника), его супруги (супруга) и несовершеннолетних детей за отчетный период и два предшествующих года сравнивается общая сумма денежных средств, поступивших на открытые по состоянию на отчетную дату счета, информация о которых содержится отдельно в </w:t>
      </w:r>
      <w:hyperlink w:history="0" r:id="rId34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служащего (работника), отдельно в </w:t>
      </w:r>
      <w:hyperlink w:history="0" r:id="rId34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его супруги (супруга), отдельно в </w:t>
      </w:r>
      <w:hyperlink w:history="0" r:id="rId34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в отношении его несовершеннолетнего ребенка.</w:t>
      </w:r>
    </w:p>
    <w:p>
      <w:pPr>
        <w:pStyle w:val="0"/>
        <w:spacing w:before="200" w:lineRule="auto"/>
        <w:ind w:firstLine="540"/>
        <w:jc w:val="both"/>
      </w:pPr>
      <w:r>
        <w:rPr>
          <w:sz w:val="20"/>
        </w:rPr>
        <w:t xml:space="preserve">2) сумма денежных средств, поступивших на закрытые по состоянию на отчетную дату счета, не учитывается;</w:t>
      </w:r>
    </w:p>
    <w:p>
      <w:pPr>
        <w:pStyle w:val="0"/>
        <w:spacing w:before="200" w:lineRule="auto"/>
        <w:ind w:firstLine="540"/>
        <w:jc w:val="both"/>
      </w:pPr>
      <w:r>
        <w:rPr>
          <w:sz w:val="20"/>
        </w:rPr>
        <w:t xml:space="preserve">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pPr>
        <w:pStyle w:val="0"/>
        <w:spacing w:before="200" w:lineRule="auto"/>
        <w:ind w:firstLine="540"/>
        <w:jc w:val="both"/>
      </w:pPr>
      <w:r>
        <w:rPr>
          <w:sz w:val="20"/>
        </w:rPr>
        <w:t xml:space="preserve">4) денежные средства, поступившие на счет, могут не являться доходом в целях представления Сведений, как следствие, не указываться в </w:t>
      </w:r>
      <w:hyperlink w:history="0" r:id="rId34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но при этом учитываться для целей </w:t>
      </w:r>
      <w:hyperlink w:history="0" r:id="rId34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4</w:t>
        </w:r>
      </w:hyperlink>
      <w:r>
        <w:rPr>
          <w:sz w:val="20"/>
        </w:rPr>
        <w:t xml:space="preserve">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pPr>
        <w:pStyle w:val="0"/>
        <w:spacing w:before="200" w:lineRule="auto"/>
        <w:ind w:firstLine="540"/>
        <w:jc w:val="both"/>
      </w:pPr>
      <w:r>
        <w:rPr>
          <w:sz w:val="20"/>
        </w:rPr>
        <w:t xml:space="preserve">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pPr>
        <w:pStyle w:val="0"/>
        <w:spacing w:before="200" w:lineRule="auto"/>
        <w:ind w:firstLine="540"/>
        <w:jc w:val="both"/>
      </w:pPr>
      <w:r>
        <w:rPr>
          <w:sz w:val="20"/>
        </w:rPr>
        <w:t xml:space="preserve">Перечень возможных на практике ситуаций (таблица N 6):</w:t>
      </w:r>
    </w:p>
    <w:p>
      <w:pPr>
        <w:pStyle w:val="0"/>
        <w:jc w:val="both"/>
      </w:pPr>
      <w:r>
        <w:rPr>
          <w:sz w:val="20"/>
        </w:rPr>
      </w:r>
    </w:p>
    <w:tbl>
      <w:tblPr>
        <w:tblInd w:w="0" w:type="dxa"/>
        <w:tblLayout w:type="fixed"/>
        <w:tblBorders>
          <w:top w:val="single" w:sz="4"/>
          <w:left w:val="single" w:sz="4"/>
          <w:bottom w:val="single" w:sz="4"/>
          <w:right w:val="single" w:sz="4"/>
          <w:insideH w:val="single" w:sz="4"/>
        </w:tblBorders>
        <w:tblCellMar>
          <w:top w:w="102" w:type="dxa"/>
          <w:left w:w="62" w:type="dxa"/>
          <w:bottom w:w="102" w:type="dxa"/>
          <w:right w:w="62" w:type="dxa"/>
        </w:tblCellMar>
      </w:tblPr>
      <w:tblGrid>
        <w:gridCol w:w="9071"/>
      </w:tblGrid>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 а у его супруги (супруга) - три; у несовершеннолетних детей счета отсутствуют.</w:t>
            </w:r>
          </w:p>
          <w:p>
            <w:pPr>
              <w:pStyle w:val="0"/>
              <w:jc w:val="both"/>
            </w:pPr>
            <w:r>
              <w:rPr>
                <w:sz w:val="20"/>
              </w:rPr>
              <w:t xml:space="preserve">В течение отчетного периода на счета служащего (работника) поступило 300 тыс. руб., а на счета его супруги (супруга) - 500 тыс. руб.</w:t>
            </w:r>
          </w:p>
          <w:p>
            <w:pPr>
              <w:pStyle w:val="0"/>
              <w:jc w:val="both"/>
            </w:pPr>
            <w:r>
              <w:rPr>
                <w:sz w:val="20"/>
              </w:rPr>
              <w:t xml:space="preserve">Общий доход служащего (работника), его супруги (супруга) и несовершеннолетних детей за отчетный период и два предшествующих года (далее в </w:t>
            </w:r>
            <w:hyperlink w:history="0" w:anchor="P227" w:tooltip="Раздел (подраздел) справки">
              <w:r>
                <w:rPr>
                  <w:sz w:val="20"/>
                  <w:color w:val="0000ff"/>
                </w:rPr>
                <w:t xml:space="preserve">таблице N 5</w:t>
              </w:r>
            </w:hyperlink>
            <w:r>
              <w:rPr>
                <w:sz w:val="20"/>
              </w:rPr>
              <w:t xml:space="preserve"> - совокупный доход) составляет 6000 тыс. руб.</w:t>
            </w:r>
          </w:p>
          <w:p>
            <w:pPr>
              <w:pStyle w:val="0"/>
              <w:jc w:val="both"/>
            </w:pPr>
            <w:r>
              <w:rPr>
                <w:sz w:val="20"/>
              </w:rPr>
              <w:t xml:space="preserve">В данном примере:</w:t>
            </w:r>
          </w:p>
          <w:p>
            <w:pPr>
              <w:pStyle w:val="0"/>
              <w:jc w:val="both"/>
            </w:pPr>
            <w:r>
              <w:rPr>
                <w:sz w:val="20"/>
              </w:rPr>
              <w:t xml:space="preserve">1) </w:t>
            </w:r>
            <w:hyperlink w:history="0" r:id="rId34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раздела 4 справки в отношении служащего (работника) не заполняется;</w:t>
            </w:r>
          </w:p>
          <w:p>
            <w:pPr>
              <w:pStyle w:val="0"/>
              <w:jc w:val="both"/>
            </w:pPr>
            <w:r>
              <w:rPr>
                <w:sz w:val="20"/>
              </w:rPr>
              <w:t xml:space="preserve">2) </w:t>
            </w:r>
            <w:hyperlink w:history="0" r:id="rId34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"Сумма поступивших на счет денежных средств (руб.)" раздела 4 справки в отношении его супруги (супруга) также не заполняется.</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три счета.</w:t>
            </w:r>
          </w:p>
          <w:p>
            <w:pPr>
              <w:pStyle w:val="0"/>
              <w:jc w:val="both"/>
            </w:pPr>
            <w:r>
              <w:rPr>
                <w:sz w:val="20"/>
              </w:rPr>
              <w:t xml:space="preserve">В течение отчетного периода на счет "А" поступило 500 тыс. руб. Впоследствии со счета "А" на счета "Б" и "В" переведены денежные средства: 300 тыс. руб. и 100 тыс. руб. соответственно.</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900 тыс. руб.;</w:t>
            </w:r>
          </w:p>
          <w:p>
            <w:pPr>
              <w:pStyle w:val="0"/>
              <w:jc w:val="both"/>
            </w:pPr>
            <w:r>
              <w:rPr>
                <w:sz w:val="20"/>
              </w:rPr>
              <w:t xml:space="preserve">2) сумма денежных средств, поступивших на счета, - 500 тыс. руб.</w:t>
            </w:r>
          </w:p>
          <w:p>
            <w:pPr>
              <w:pStyle w:val="0"/>
              <w:jc w:val="both"/>
            </w:pPr>
            <w:r>
              <w:rPr>
                <w:sz w:val="20"/>
              </w:rPr>
              <w:t xml:space="preserve">Таким образом, для целей определения необходимости заполнения </w:t>
            </w:r>
            <w:hyperlink w:history="0" r:id="rId34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500 тыс. руб.</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w:t>
            </w:r>
          </w:p>
          <w:p>
            <w:pPr>
              <w:pStyle w:val="0"/>
              <w:jc w:val="both"/>
            </w:pPr>
            <w:r>
              <w:rPr>
                <w:sz w:val="20"/>
              </w:rPr>
              <w:t xml:space="preserve">В течение отчетного периода на счет "А" поступило 400 тыс. руб.; на счет "Б" - 300 тыс. руб.</w:t>
            </w:r>
          </w:p>
          <w:p>
            <w:pPr>
              <w:pStyle w:val="0"/>
              <w:jc w:val="both"/>
            </w:pPr>
            <w:r>
              <w:rPr>
                <w:sz w:val="20"/>
              </w:rPr>
              <w:t xml:space="preserve">Сначала со счета "А" на счет "Б" переведены 200 тыс. руб., потом со счета "Б" на счет "А" - 500 тыс. руб.</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1400 тыс. руб.;</w:t>
            </w:r>
          </w:p>
          <w:p>
            <w:pPr>
              <w:pStyle w:val="0"/>
              <w:jc w:val="both"/>
            </w:pPr>
            <w:r>
              <w:rPr>
                <w:sz w:val="20"/>
              </w:rPr>
              <w:t xml:space="preserve">2) сумма денежных средств, поступивших на счета, - 700 тыс. руб.</w:t>
            </w:r>
          </w:p>
          <w:p>
            <w:pPr>
              <w:pStyle w:val="0"/>
              <w:jc w:val="both"/>
            </w:pPr>
            <w:r>
              <w:rPr>
                <w:sz w:val="20"/>
              </w:rPr>
              <w:t xml:space="preserve">Таким образом, для целей определения необходимости заполнения </w:t>
            </w:r>
            <w:hyperlink w:history="0" r:id="rId34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700 тыс. руб.</w:t>
            </w:r>
          </w:p>
        </w:tc>
      </w:tr>
      <w:tr>
        <w:tc>
          <w:tcPr>
            <w:tcW w:w="9071" w:type="dxa"/>
            <w:tcBorders>
              <w:left w:val="single" w:sz="4"/>
              <w:right w:val="single" w:sz="4"/>
            </w:tcBorders>
          </w:tcPr>
          <w:p>
            <w:pPr>
              <w:pStyle w:val="0"/>
              <w:jc w:val="both"/>
            </w:pPr>
            <w:r>
              <w:rPr>
                <w:sz w:val="20"/>
              </w:rPr>
              <w:t xml:space="preserve">По состоянию на отчетную дату и в течение отчетного периода у служащего (работника) открыто два счета.</w:t>
            </w:r>
          </w:p>
          <w:p>
            <w:pPr>
              <w:pStyle w:val="0"/>
              <w:jc w:val="both"/>
            </w:pPr>
            <w:r>
              <w:rPr>
                <w:sz w:val="20"/>
              </w:rPr>
              <w:t xml:space="preserve">В течение отчетного периода на счет "А" поступило 500 тыс. руб. Впоследствии со счета "А" в банкомате сняли 500 тыс. руб. и зачислили их также с помощью банкомата на счет "Б".</w:t>
            </w:r>
          </w:p>
          <w:p>
            <w:pPr>
              <w:pStyle w:val="0"/>
              <w:jc w:val="both"/>
            </w:pPr>
            <w:r>
              <w:rPr>
                <w:sz w:val="20"/>
              </w:rPr>
              <w:t xml:space="preserve">В данном примере:</w:t>
            </w:r>
          </w:p>
          <w:p>
            <w:pPr>
              <w:pStyle w:val="0"/>
              <w:jc w:val="both"/>
            </w:pPr>
            <w:r>
              <w:rPr>
                <w:sz w:val="20"/>
              </w:rPr>
              <w:t xml:space="preserve">1) перераспределение (оборот) денежных средств по счетам составил 1000 тыс. руб.;</w:t>
            </w:r>
          </w:p>
          <w:p>
            <w:pPr>
              <w:pStyle w:val="0"/>
              <w:jc w:val="both"/>
            </w:pPr>
            <w:r>
              <w:rPr>
                <w:sz w:val="20"/>
              </w:rPr>
              <w:t xml:space="preserve">2) сумма денежных средств, поступивших на счета, - 1000 тыс. руб.</w:t>
            </w:r>
          </w:p>
          <w:p>
            <w:pPr>
              <w:pStyle w:val="0"/>
              <w:jc w:val="both"/>
            </w:pPr>
            <w:r>
              <w:rPr>
                <w:sz w:val="20"/>
              </w:rPr>
              <w:t xml:space="preserve">Таким образом, для целей определения необходимости заполнения </w:t>
            </w:r>
            <w:hyperlink w:history="0" r:id="rId34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раздела 4 справки необходимо сравнивать совокупный доход с 1000 тыс. руб.</w:t>
            </w:r>
          </w:p>
        </w:tc>
      </w:tr>
    </w:tbl>
    <w:p>
      <w:pPr>
        <w:pStyle w:val="0"/>
        <w:jc w:val="both"/>
      </w:pPr>
      <w:r>
        <w:rPr>
          <w:sz w:val="20"/>
        </w:rPr>
      </w:r>
    </w:p>
    <w:p>
      <w:pPr>
        <w:pStyle w:val="0"/>
        <w:ind w:firstLine="540"/>
        <w:jc w:val="both"/>
      </w:pPr>
      <w:r>
        <w:rPr>
          <w:sz w:val="20"/>
        </w:rPr>
        <w:t xml:space="preserve">170. Заполнение </w:t>
      </w:r>
      <w:hyperlink w:history="0" r:id="rId35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 "Сумма поступивших на счет денежных средств (руб.)" при отсутствии оснований не является нарушением.</w:t>
      </w:r>
    </w:p>
    <w:p>
      <w:pPr>
        <w:pStyle w:val="0"/>
        <w:ind w:firstLine="540"/>
        <w:jc w:val="both"/>
      </w:pPr>
      <w:r>
        <w:rPr>
          <w:sz w:val="20"/>
        </w:rPr>
      </w:r>
    </w:p>
    <w:p>
      <w:pPr>
        <w:pStyle w:val="2"/>
        <w:outlineLvl w:val="2"/>
        <w:ind w:firstLine="540"/>
        <w:jc w:val="both"/>
      </w:pPr>
      <w:r>
        <w:rPr>
          <w:sz w:val="20"/>
        </w:rPr>
        <w:t xml:space="preserve">Совместный счет</w:t>
      </w:r>
    </w:p>
    <w:p>
      <w:pPr>
        <w:pStyle w:val="0"/>
        <w:spacing w:before="200" w:lineRule="auto"/>
        <w:ind w:firstLine="540"/>
        <w:jc w:val="both"/>
      </w:pPr>
      <w:r>
        <w:rPr>
          <w:sz w:val="20"/>
        </w:rPr>
        <w:t xml:space="preserve">171. 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pPr>
        <w:pStyle w:val="0"/>
        <w:spacing w:before="200" w:lineRule="auto"/>
        <w:ind w:firstLine="540"/>
        <w:jc w:val="both"/>
      </w:pPr>
      <w:r>
        <w:rPr>
          <w:sz w:val="20"/>
        </w:rPr>
        <w:t xml:space="preserve">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pPr>
        <w:pStyle w:val="0"/>
        <w:spacing w:before="200" w:lineRule="auto"/>
        <w:ind w:firstLine="540"/>
        <w:jc w:val="both"/>
      </w:pPr>
      <w:r>
        <w:rPr>
          <w:sz w:val="20"/>
        </w:rPr>
        <w:t xml:space="preserve">В данном случае в каждой подаваемой </w:t>
      </w:r>
      <w:hyperlink w:history="0" r:id="rId35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представляется идентичная информация о таком счете.</w:t>
      </w:r>
    </w:p>
    <w:p>
      <w:pPr>
        <w:pStyle w:val="0"/>
        <w:ind w:firstLine="540"/>
        <w:jc w:val="both"/>
      </w:pPr>
      <w:r>
        <w:rPr>
          <w:sz w:val="20"/>
        </w:rPr>
      </w:r>
    </w:p>
    <w:p>
      <w:pPr>
        <w:pStyle w:val="2"/>
        <w:outlineLvl w:val="2"/>
        <w:ind w:firstLine="540"/>
        <w:jc w:val="both"/>
      </w:pPr>
      <w:r>
        <w:rPr>
          <w:sz w:val="20"/>
        </w:rPr>
        <w:t xml:space="preserve">Кредитные карты, карты с овердрафтом, электронные средства платежа</w:t>
      </w:r>
    </w:p>
    <w:p>
      <w:pPr>
        <w:pStyle w:val="0"/>
        <w:spacing w:before="200" w:lineRule="auto"/>
        <w:ind w:firstLine="540"/>
        <w:jc w:val="both"/>
      </w:pPr>
      <w:r>
        <w:rPr>
          <w:sz w:val="20"/>
        </w:rPr>
        <w:t xml:space="preserve">172. Банк (иная кредитная организация) выпускает следующие виды карт (таблица N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7597"/>
      </w:tblGrid>
      <w:tr>
        <w:tc>
          <w:tcPr>
            <w:tcW w:w="1474" w:type="dxa"/>
          </w:tcPr>
          <w:p>
            <w:pPr>
              <w:pStyle w:val="0"/>
              <w:jc w:val="both"/>
            </w:pPr>
            <w:r>
              <w:rPr>
                <w:sz w:val="20"/>
              </w:rPr>
              <w:t xml:space="preserve">Расчетная (дебетовая)</w:t>
            </w:r>
          </w:p>
        </w:tc>
        <w:tc>
          <w:tcPr>
            <w:tcW w:w="7597" w:type="dxa"/>
          </w:tcPr>
          <w:p>
            <w:pPr>
              <w:pStyle w:val="0"/>
              <w:jc w:val="both"/>
            </w:pPr>
            <w:r>
              <w:rPr>
                <w:sz w:val="20"/>
              </w:rPr>
              <w:t xml:space="preserve">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tc>
          <w:tcPr>
            <w:tcW w:w="1474" w:type="dxa"/>
          </w:tcPr>
          <w:p>
            <w:pPr>
              <w:pStyle w:val="0"/>
              <w:jc w:val="both"/>
            </w:pPr>
            <w:r>
              <w:rPr>
                <w:sz w:val="20"/>
              </w:rPr>
              <w:t xml:space="preserve">Кредитная</w:t>
            </w:r>
          </w:p>
        </w:tc>
        <w:tc>
          <w:tcPr>
            <w:tcW w:w="7597" w:type="dxa"/>
          </w:tcPr>
          <w:p>
            <w:pPr>
              <w:pStyle w:val="0"/>
              <w:jc w:val="both"/>
            </w:pPr>
            <w:r>
              <w:rPr>
                <w:sz w:val="20"/>
              </w:rPr>
              <w:t xml:space="preserve">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pPr>
        <w:pStyle w:val="0"/>
        <w:jc w:val="both"/>
      </w:pPr>
      <w:r>
        <w:rPr>
          <w:sz w:val="20"/>
        </w:rPr>
      </w:r>
    </w:p>
    <w:p>
      <w:pPr>
        <w:pStyle w:val="0"/>
        <w:ind w:firstLine="540"/>
        <w:jc w:val="both"/>
      </w:pPr>
      <w:r>
        <w:rPr>
          <w:sz w:val="20"/>
        </w:rPr>
        <w:t xml:space="preserve">173. Расчетная (дебетовая) и, как правило, кредитные карты предполагают открытие и ведение банком (иной кредитной организацией) счета.</w:t>
      </w:r>
    </w:p>
    <w:p>
      <w:pPr>
        <w:pStyle w:val="0"/>
        <w:spacing w:before="200" w:lineRule="auto"/>
        <w:ind w:firstLine="540"/>
        <w:jc w:val="both"/>
      </w:pPr>
      <w:r>
        <w:rPr>
          <w:sz w:val="20"/>
        </w:rPr>
        <w:t xml:space="preserve">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w:t>
      </w:r>
      <w:hyperlink w:history="0" r:id="rId35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w:history="0" r:id="rId353">
        <w:r>
          <w:rPr>
            <w:sz w:val="20"/>
            <w:color w:val="0000ff"/>
          </w:rPr>
          <w:t xml:space="preserve">https://www.nalog.gov.ru/rn77/related_activities/accounting/bank_account/</w:t>
        </w:r>
      </w:hyperlink>
      <w:r>
        <w:rPr>
          <w:sz w:val="20"/>
        </w:rPr>
        <w:t xml:space="preserve">.</w:t>
      </w:r>
    </w:p>
    <w:p>
      <w:pPr>
        <w:pStyle w:val="0"/>
        <w:spacing w:before="200" w:lineRule="auto"/>
        <w:ind w:firstLine="540"/>
        <w:jc w:val="both"/>
      </w:pPr>
      <w:r>
        <w:rPr>
          <w:sz w:val="20"/>
        </w:rPr>
        <w:t xml:space="preserve">В случае наличия различий в информации о банковских счетах, представленных ФНС России и в соответствии с </w:t>
      </w:r>
      <w:hyperlink w:history="0" r:id="rId35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банком (иной кредитной организацией), приоритет рекомендуется отдавать информации, полученной в рамках </w:t>
      </w:r>
      <w:hyperlink w:history="0" r:id="rId355"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174. 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w:t>
      </w:r>
      <w:hyperlink w:history="0" r:id="rId35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175. 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w:t>
      </w:r>
      <w:hyperlink w:history="0" r:id="rId35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176. 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pPr>
        <w:pStyle w:val="0"/>
        <w:spacing w:before="200" w:lineRule="auto"/>
        <w:ind w:firstLine="540"/>
        <w:jc w:val="both"/>
      </w:pPr>
      <w:r>
        <w:rPr>
          <w:sz w:val="20"/>
        </w:rPr>
        <w:t xml:space="preserve">177. 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pPr>
        <w:pStyle w:val="0"/>
        <w:spacing w:before="200" w:lineRule="auto"/>
        <w:ind w:firstLine="540"/>
        <w:jc w:val="both"/>
      </w:pPr>
      <w:r>
        <w:rPr>
          <w:sz w:val="20"/>
        </w:rPr>
        <w:t xml:space="preserve">178. Следует обращать внимание, что основанием закрытия счета является прекращение договора счета в установленном порядке или соглашение сторон.</w:t>
      </w:r>
    </w:p>
    <w:p>
      <w:pPr>
        <w:pStyle w:val="0"/>
        <w:spacing w:before="200" w:lineRule="auto"/>
        <w:ind w:firstLine="540"/>
        <w:jc w:val="both"/>
      </w:pPr>
      <w:r>
        <w:rPr>
          <w:sz w:val="20"/>
        </w:rPr>
        <w:t xml:space="preserve">179. В данном </w:t>
      </w:r>
      <w:hyperlink w:history="0" r:id="rId35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не указываются:</w:t>
      </w:r>
    </w:p>
    <w:p>
      <w:pPr>
        <w:pStyle w:val="0"/>
        <w:spacing w:before="200" w:lineRule="auto"/>
        <w:ind w:firstLine="540"/>
        <w:jc w:val="both"/>
      </w:pPr>
      <w:r>
        <w:rPr>
          <w:sz w:val="20"/>
        </w:rPr>
        <w:t xml:space="preserve">1) 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w:t>
      </w:r>
    </w:p>
    <w:p>
      <w:pPr>
        <w:pStyle w:val="0"/>
        <w:spacing w:before="200" w:lineRule="auto"/>
        <w:ind w:firstLine="540"/>
        <w:jc w:val="both"/>
      </w:pPr>
      <w:r>
        <w:rPr>
          <w:sz w:val="20"/>
        </w:rPr>
        <w:t xml:space="preserve">2) сведения об участии в программе государственного софинансирования пенсии, действующей в соответствии с Федеральным </w:t>
      </w:r>
      <w:hyperlink w:history="0" r:id="rId359" w:tooltip="Федеральный закон от 30.04.2008 N 56-ФЗ (ред. от 10.07.2023) &quot;О дополнительных страховых взносах на накопительную пенсию и государственной поддержке формирования пенсионных накоплений&quot; {КонсультантПлюс}">
        <w:r>
          <w:rPr>
            <w:sz w:val="20"/>
            <w:color w:val="0000ff"/>
          </w:rPr>
          <w:t xml:space="preserve">законом</w:t>
        </w:r>
      </w:hyperlink>
      <w:r>
        <w:rPr>
          <w:sz w:val="20"/>
        </w:rPr>
        <w:t xml:space="preserve">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pPr>
        <w:pStyle w:val="0"/>
        <w:spacing w:before="200" w:lineRule="auto"/>
        <w:ind w:firstLine="540"/>
        <w:jc w:val="both"/>
      </w:pPr>
      <w:r>
        <w:rPr>
          <w:sz w:val="20"/>
        </w:rPr>
        <w:t xml:space="preserve">3) сведения о заключении договора долгосрочных сбережений в соответствии с Федеральным </w:t>
      </w:r>
      <w:hyperlink w:history="0" r:id="rId360" w:tooltip="Федеральный закон от 07.05.1998 N 75-ФЗ (ред. от 09.04.2026) &quot;О негосударственных пенсионных фондах&quot; (с изм. и доп., вступ. в силу с 20.04.2026) {КонсультантПлюс}">
        <w:r>
          <w:rPr>
            <w:sz w:val="20"/>
            <w:color w:val="0000ff"/>
          </w:rPr>
          <w:t xml:space="preserve">законом</w:t>
        </w:r>
      </w:hyperlink>
      <w:r>
        <w:rPr>
          <w:sz w:val="20"/>
        </w:rPr>
        <w:t xml:space="preserve"> от 7 мая 1998 г. N 75-ФЗ "О негосударственных пенсионных фондах";</w:t>
      </w:r>
    </w:p>
    <w:p>
      <w:pPr>
        <w:pStyle w:val="0"/>
        <w:spacing w:before="200" w:lineRule="auto"/>
        <w:ind w:firstLine="540"/>
        <w:jc w:val="both"/>
      </w:pPr>
      <w:r>
        <w:rPr>
          <w:sz w:val="20"/>
        </w:rPr>
        <w:t xml:space="preserve">4) электронные средства платежа, в том числе "электронные кошельки" (например, "ЮMoney",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pPr>
        <w:pStyle w:val="0"/>
        <w:spacing w:before="200" w:lineRule="auto"/>
        <w:ind w:firstLine="540"/>
        <w:jc w:val="both"/>
      </w:pPr>
      <w:r>
        <w:rPr>
          <w:sz w:val="20"/>
        </w:rPr>
        <w:t xml:space="preserve">Под электронным средством платежа в соответствии с </w:t>
      </w:r>
      <w:hyperlink w:history="0" r:id="rId361" w:tooltip="Федеральный закон от 27.06.2011 N 161-ФЗ (ред. от 09.04.2026) &quot;О национальной платежной системе&quot; {КонсультантПлюс}">
        <w:r>
          <w:rPr>
            <w:sz w:val="20"/>
            <w:color w:val="0000ff"/>
          </w:rPr>
          <w:t xml:space="preserve">пунктом 19 статьи 3</w:t>
        </w:r>
      </w:hyperlink>
      <w:r>
        <w:rPr>
          <w:sz w:val="20"/>
        </w:rPr>
        <w:t xml:space="preserve"> Федерального закона от 27 июня 2011 г. N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карт и их преобразованных данных (токенизированных (цифровых) платежных карт), а также иных технических устройств.</w:t>
      </w:r>
    </w:p>
    <w:p>
      <w:pPr>
        <w:pStyle w:val="0"/>
        <w:spacing w:before="200" w:lineRule="auto"/>
        <w:ind w:firstLine="540"/>
        <w:jc w:val="both"/>
      </w:pPr>
      <w:r>
        <w:rPr>
          <w:sz w:val="20"/>
        </w:rPr>
        <w:t xml:space="preserve">В применимой информации, представляемой ФНС России, могут указываться электронные средства платежа (ЭСП), но это не требует их отражения в </w:t>
      </w:r>
      <w:hyperlink w:history="0" r:id="rId36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4</w:t>
        </w:r>
      </w:hyperlink>
      <w:r>
        <w:rPr>
          <w:sz w:val="20"/>
        </w:rPr>
        <w:t xml:space="preserve"> справки.</w:t>
      </w:r>
    </w:p>
    <w:p>
      <w:pPr>
        <w:pStyle w:val="0"/>
        <w:ind w:firstLine="540"/>
        <w:jc w:val="both"/>
      </w:pPr>
      <w:r>
        <w:rPr>
          <w:sz w:val="20"/>
        </w:rPr>
      </w:r>
    </w:p>
    <w:p>
      <w:pPr>
        <w:pStyle w:val="2"/>
        <w:outlineLvl w:val="2"/>
        <w:ind w:firstLine="540"/>
        <w:jc w:val="both"/>
      </w:pPr>
      <w:r>
        <w:rPr>
          <w:sz w:val="20"/>
        </w:rPr>
        <w:t xml:space="preserve">Отзыв лицензии у кредитной организации</w:t>
      </w:r>
    </w:p>
    <w:p>
      <w:pPr>
        <w:pStyle w:val="0"/>
        <w:spacing w:before="200" w:lineRule="auto"/>
        <w:ind w:firstLine="540"/>
        <w:jc w:val="both"/>
      </w:pPr>
      <w:r>
        <w:rPr>
          <w:sz w:val="20"/>
        </w:rPr>
        <w:t xml:space="preserve">180. 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w:t>
      </w:r>
      <w:hyperlink w:history="0" r:id="rId36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ind w:firstLine="540"/>
        <w:jc w:val="both"/>
      </w:pPr>
      <w:r>
        <w:rPr>
          <w:sz w:val="20"/>
        </w:rPr>
      </w:r>
    </w:p>
    <w:p>
      <w:pPr>
        <w:pStyle w:val="2"/>
        <w:outlineLvl w:val="2"/>
        <w:ind w:firstLine="540"/>
        <w:jc w:val="both"/>
      </w:pPr>
      <w:r>
        <w:rPr>
          <w:sz w:val="20"/>
        </w:rPr>
        <w:t xml:space="preserve">Ликвидация кредитной организации</w:t>
      </w:r>
    </w:p>
    <w:p>
      <w:pPr>
        <w:pStyle w:val="0"/>
        <w:spacing w:before="200" w:lineRule="auto"/>
        <w:ind w:firstLine="540"/>
        <w:jc w:val="both"/>
      </w:pPr>
      <w:r>
        <w:rPr>
          <w:sz w:val="20"/>
        </w:rPr>
        <w:t xml:space="preserve">181. Ликвидация кредитной организации свидетельствует о закрытии счета в данной кредитной организации.</w:t>
      </w:r>
    </w:p>
    <w:p>
      <w:pPr>
        <w:pStyle w:val="0"/>
        <w:spacing w:before="200" w:lineRule="auto"/>
        <w:ind w:firstLine="540"/>
        <w:jc w:val="both"/>
      </w:pPr>
      <w:r>
        <w:rPr>
          <w:sz w:val="20"/>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w:t>
      </w:r>
      <w:hyperlink w:history="0" r:id="rId36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jc w:val="both"/>
      </w:pPr>
      <w:r>
        <w:rPr>
          <w:sz w:val="20"/>
        </w:rPr>
      </w:r>
    </w:p>
    <w:p>
      <w:pPr>
        <w:pStyle w:val="2"/>
        <w:outlineLvl w:val="1"/>
        <w:jc w:val="center"/>
      </w:pPr>
      <w:hyperlink w:history="0" r:id="rId36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5</w:t>
        </w:r>
      </w:hyperlink>
      <w:r>
        <w:rPr>
          <w:sz w:val="20"/>
        </w:rPr>
        <w:t xml:space="preserve">. СВЕДЕНИЯ О ЦЕННЫХ БУМАГАХ</w:t>
      </w:r>
    </w:p>
    <w:p>
      <w:pPr>
        <w:pStyle w:val="0"/>
        <w:jc w:val="both"/>
      </w:pPr>
      <w:r>
        <w:rPr>
          <w:sz w:val="20"/>
        </w:rPr>
      </w:r>
    </w:p>
    <w:p>
      <w:pPr>
        <w:pStyle w:val="0"/>
        <w:ind w:firstLine="540"/>
        <w:jc w:val="both"/>
      </w:pPr>
      <w:r>
        <w:rPr>
          <w:sz w:val="20"/>
        </w:rPr>
        <w:t xml:space="preserve">182. В данном </w:t>
      </w:r>
      <w:hyperlink w:history="0" r:id="rId36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w:t>
      </w:r>
      <w:hyperlink w:history="0" r:id="rId36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1</w:t>
        </w:r>
      </w:hyperlink>
      <w:r>
        <w:rPr>
          <w:sz w:val="20"/>
        </w:rPr>
        <w:t xml:space="preserve"> справки (</w:t>
      </w:r>
      <w:hyperlink w:history="0" r:id="rId36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строка</w:t>
        </w:r>
      </w:hyperlink>
      <w:r>
        <w:rPr>
          <w:sz w:val="20"/>
        </w:rPr>
        <w:t xml:space="preserve"> "Доход от ценных бумаг и долей участия в коммерческих организациях").</w:t>
      </w:r>
    </w:p>
    <w:p>
      <w:pPr>
        <w:pStyle w:val="0"/>
        <w:spacing w:before="200" w:lineRule="auto"/>
        <w:ind w:firstLine="540"/>
        <w:jc w:val="both"/>
      </w:pPr>
      <w:r>
        <w:rPr>
          <w:sz w:val="20"/>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w:t>
      </w:r>
    </w:p>
    <w:p>
      <w:pPr>
        <w:pStyle w:val="0"/>
        <w:spacing w:before="200" w:lineRule="auto"/>
        <w:ind w:firstLine="540"/>
        <w:jc w:val="both"/>
      </w:pPr>
      <w:r>
        <w:rPr>
          <w:sz w:val="20"/>
        </w:rPr>
        <w:t xml:space="preserve">Государственный сертификат на материнский (семейный) капитал не является ценной бумагой и не подлежит указанию в </w:t>
      </w:r>
      <w:hyperlink w:history="0" r:id="rId36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w:t>
      </w:r>
      <w:hyperlink w:history="0" r:id="rId37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w:t>
        </w:r>
      </w:hyperlink>
      <w:r>
        <w:rPr>
          <w:sz w:val="20"/>
        </w:rPr>
        <w:t xml:space="preserve"> или </w:t>
      </w:r>
      <w:hyperlink w:history="0" r:id="rId37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5.2 раздела 5</w:t>
        </w:r>
      </w:hyperlink>
      <w:r>
        <w:rPr>
          <w:sz w:val="20"/>
        </w:rPr>
        <w:t xml:space="preserve"> справки соответственно. Аналогично в отношении инвестиционных паев открытых паевых инвестиционных фондов или инвестиционных паев закрытых паевых инвестиционных фондов, предназначенных для квалифицированных инвесторов, которые приобретаются в рамках договора долевого страхования жизни (в соответствии с </w:t>
      </w:r>
      <w:hyperlink w:history="0" r:id="rId372" w:tooltip="Закон РФ от 27.11.1992 N 4015-1 (ред. от 09.04.2026) &quot;Об организации страхового дела в Российской Федерации&quot; {КонсультантПлюс}">
        <w:r>
          <w:rPr>
            <w:sz w:val="20"/>
            <w:color w:val="0000ff"/>
          </w:rPr>
          <w:t xml:space="preserve">пунктом 2 статьи 11.1</w:t>
        </w:r>
      </w:hyperlink>
      <w:r>
        <w:rPr>
          <w:sz w:val="20"/>
        </w:rPr>
        <w:t xml:space="preserve"> Закона Российской Федерации от 27 ноября 1992 г. N 4015-1 "Об организации страхового дела в Российской Федерации").</w:t>
      </w:r>
    </w:p>
    <w:p>
      <w:pPr>
        <w:pStyle w:val="0"/>
        <w:spacing w:before="200" w:lineRule="auto"/>
        <w:ind w:firstLine="540"/>
        <w:jc w:val="both"/>
      </w:pPr>
      <w:r>
        <w:rPr>
          <w:sz w:val="20"/>
        </w:rPr>
        <w:t xml:space="preserve">В соответствии с </w:t>
      </w:r>
      <w:hyperlink w:history="0" r:id="rId373" w:tooltip="&quot;Гражданский кодекс Российской Федерации (часть вторая)&quot; от 26.01.1996 N 14-ФЗ (ред. от 24.06.2025, с изм. от 16.12.2025) {КонсультантПлюс}">
        <w:r>
          <w:rPr>
            <w:sz w:val="20"/>
            <w:color w:val="0000ff"/>
          </w:rPr>
          <w:t xml:space="preserve">пунктом 1 статьи 1012</w:t>
        </w:r>
      </w:hyperlink>
      <w:r>
        <w:rPr>
          <w:sz w:val="20"/>
        </w:rPr>
        <w:t xml:space="preserve">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w:t>
      </w:r>
      <w:hyperlink w:history="0" r:id="rId37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Кроме того, в силу </w:t>
      </w:r>
      <w:hyperlink w:history="0" r:id="rId375" w:tooltip="&quot;Гражданский кодекс Российской Федерации (часть вторая)&quot; от 26.01.1996 N 14-ФЗ (ред. от 24.06.2025, с изм. от 16.12.2025) {КонсультантПлюс}">
        <w:r>
          <w:rPr>
            <w:sz w:val="20"/>
            <w:color w:val="0000ff"/>
          </w:rPr>
          <w:t xml:space="preserve">статьи 926.1</w:t>
        </w:r>
      </w:hyperlink>
      <w:r>
        <w:rPr>
          <w:sz w:val="20"/>
        </w:rPr>
        <w:t xml:space="preserve">, </w:t>
      </w:r>
      <w:hyperlink w:history="0" r:id="rId376" w:tooltip="&quot;Гражданский кодекс Российской Федерации (часть вторая)&quot; от 26.01.1996 N 14-ФЗ (ред. от 24.06.2025, с изм. от 16.12.2025) {КонсультантПлюс}">
        <w:r>
          <w:rPr>
            <w:sz w:val="20"/>
            <w:color w:val="0000ff"/>
          </w:rPr>
          <w:t xml:space="preserve">пункта 1 статьи 926.5</w:t>
        </w:r>
      </w:hyperlink>
      <w:r>
        <w:rPr>
          <w:sz w:val="20"/>
        </w:rPr>
        <w:t xml:space="preserve">, </w:t>
      </w:r>
      <w:hyperlink w:history="0" r:id="rId377" w:tooltip="&quot;Гражданский кодекс Российской Федерации (часть вторая)&quot; от 26.01.1996 N 14-ФЗ (ред. от 24.06.2025, с изм. от 16.12.2025) {КонсультантПлюс}">
        <w:r>
          <w:rPr>
            <w:sz w:val="20"/>
            <w:color w:val="0000ff"/>
          </w:rPr>
          <w:t xml:space="preserve">статьи 926.6</w:t>
        </w:r>
      </w:hyperlink>
      <w:r>
        <w:rPr>
          <w:sz w:val="20"/>
        </w:rPr>
        <w:t xml:space="preserve"> Гражданского кодекса Российской Федерации передача ценных бумаг на депонирование эскроу-агенту по общему правилу не влечет перехода права собственности на них к эскроу-агенту. В этой связи такие ценные бумаги также отражаются в </w:t>
      </w:r>
      <w:hyperlink w:history="0" r:id="rId37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w:t>
      </w:r>
    </w:p>
    <w:p>
      <w:pPr>
        <w:pStyle w:val="0"/>
        <w:spacing w:before="200" w:lineRule="auto"/>
        <w:ind w:firstLine="540"/>
        <w:jc w:val="both"/>
      </w:pPr>
      <w:r>
        <w:rPr>
          <w:sz w:val="20"/>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pPr>
        <w:pStyle w:val="0"/>
        <w:spacing w:before="200" w:lineRule="auto"/>
        <w:ind w:firstLine="540"/>
        <w:jc w:val="both"/>
      </w:pPr>
      <w:r>
        <w:rPr>
          <w:sz w:val="20"/>
        </w:rPr>
        <w:t xml:space="preserve">Отдельная информация, необходимая для заполнения </w:t>
      </w:r>
      <w:hyperlink w:history="0" r:id="rId37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раздела 5</w:t>
        </w:r>
      </w:hyperlink>
      <w:r>
        <w:rPr>
          <w:sz w:val="20"/>
        </w:rPr>
        <w:t xml:space="preserve"> справки, может быть получена в рамках </w:t>
      </w:r>
      <w:hyperlink w:history="0" r:id="rId380"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pPr>
        <w:pStyle w:val="0"/>
        <w:spacing w:before="200" w:lineRule="auto"/>
        <w:ind w:firstLine="540"/>
        <w:jc w:val="both"/>
      </w:pPr>
      <w:r>
        <w:rPr>
          <w:sz w:val="20"/>
        </w:rPr>
        <w:t xml:space="preserve">Также при отсутствии информации в отношении отдельных граф организация в соответствии с </w:t>
      </w:r>
      <w:hyperlink w:history="0" r:id="rId381"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Указанием</w:t>
        </w:r>
      </w:hyperlink>
      <w:r>
        <w:rPr>
          <w:sz w:val="20"/>
        </w:rPr>
        <w:t xml:space="preserve"> Банка России N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w:t>
      </w:r>
    </w:p>
    <w:p>
      <w:pPr>
        <w:pStyle w:val="0"/>
        <w:ind w:firstLine="540"/>
        <w:jc w:val="both"/>
      </w:pPr>
      <w:r>
        <w:rPr>
          <w:sz w:val="20"/>
        </w:rPr>
      </w:r>
    </w:p>
    <w:p>
      <w:pPr>
        <w:pStyle w:val="2"/>
        <w:outlineLvl w:val="2"/>
        <w:ind w:firstLine="540"/>
        <w:jc w:val="both"/>
      </w:pPr>
      <w:hyperlink w:history="0" r:id="rId38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5.1</w:t>
        </w:r>
      </w:hyperlink>
      <w:r>
        <w:rPr>
          <w:sz w:val="20"/>
        </w:rPr>
        <w:t xml:space="preserve">. Акции и иное участие в коммерческих организациях и фондах</w:t>
      </w:r>
    </w:p>
    <w:p>
      <w:pPr>
        <w:pStyle w:val="0"/>
        <w:spacing w:before="200" w:lineRule="auto"/>
        <w:ind w:firstLine="540"/>
        <w:jc w:val="both"/>
      </w:pPr>
      <w:r>
        <w:rPr>
          <w:sz w:val="20"/>
        </w:rPr>
        <w:t xml:space="preserve">183. В соответствии с Федеральным </w:t>
      </w:r>
      <w:hyperlink w:history="0" r:id="rId383" w:tooltip="Федеральный закон от 22.04.1996 N 39-ФЗ (ред. от 09.04.2026) &quot;О рынке ценных бумаг&quot; (с изм. и доп., вступ. в силу с 20.04.2026) {КонсультантПлюс}">
        <w:r>
          <w:rPr>
            <w:sz w:val="20"/>
            <w:color w:val="0000ff"/>
          </w:rPr>
          <w:t xml:space="preserve">законом</w:t>
        </w:r>
      </w:hyperlink>
      <w:r>
        <w:rPr>
          <w:sz w:val="20"/>
        </w:rPr>
        <w:t xml:space="preserve"> от 22 апреля 1996 г. N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p>
    <w:bookmarkStart w:id="728" w:name="P728"/>
    <w:bookmarkEnd w:id="728"/>
    <w:p>
      <w:pPr>
        <w:pStyle w:val="0"/>
        <w:spacing w:before="200" w:lineRule="auto"/>
        <w:ind w:firstLine="540"/>
        <w:jc w:val="both"/>
      </w:pPr>
      <w:r>
        <w:rPr>
          <w:sz w:val="20"/>
        </w:rPr>
        <w:t xml:space="preserve">184. В </w:t>
      </w:r>
      <w:hyperlink w:history="0" r:id="rId38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pPr>
        <w:pStyle w:val="0"/>
        <w:spacing w:before="200" w:lineRule="auto"/>
        <w:ind w:firstLine="540"/>
        <w:jc w:val="both"/>
      </w:pPr>
      <w:r>
        <w:rPr>
          <w:sz w:val="20"/>
        </w:rPr>
        <w:t xml:space="preserve">В случае если служащий (работник), его супруга (супруг)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w:t>
      </w:r>
    </w:p>
    <w:bookmarkStart w:id="730" w:name="P730"/>
    <w:bookmarkEnd w:id="730"/>
    <w:p>
      <w:pPr>
        <w:pStyle w:val="0"/>
        <w:spacing w:before="200" w:lineRule="auto"/>
        <w:ind w:firstLine="540"/>
        <w:jc w:val="both"/>
      </w:pPr>
      <w:r>
        <w:rPr>
          <w:sz w:val="20"/>
        </w:rPr>
        <w:t xml:space="preserve">185. В </w:t>
      </w:r>
      <w:hyperlink w:history="0" r:id="rId38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bookmarkStart w:id="731" w:name="P731"/>
    <w:bookmarkEnd w:id="731"/>
    <w:p>
      <w:pPr>
        <w:pStyle w:val="0"/>
        <w:spacing w:before="200" w:lineRule="auto"/>
        <w:ind w:firstLine="540"/>
        <w:jc w:val="both"/>
      </w:pPr>
      <w:r>
        <w:rPr>
          <w:sz w:val="20"/>
        </w:rPr>
        <w:t xml:space="preserve">186.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Если законодательством не предусмотрено формирование уставного капитала, то указывается "0 руб.".</w:t>
      </w:r>
    </w:p>
    <w:p>
      <w:pPr>
        <w:pStyle w:val="0"/>
        <w:spacing w:before="200" w:lineRule="auto"/>
        <w:ind w:firstLine="540"/>
        <w:jc w:val="both"/>
      </w:pPr>
      <w:r>
        <w:rPr>
          <w:sz w:val="20"/>
        </w:rPr>
        <w:t xml:space="preserve">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bookmarkStart w:id="734" w:name="P734"/>
    <w:bookmarkEnd w:id="734"/>
    <w:p>
      <w:pPr>
        <w:pStyle w:val="0"/>
        <w:spacing w:before="200" w:lineRule="auto"/>
        <w:ind w:firstLine="540"/>
        <w:jc w:val="both"/>
      </w:pPr>
      <w:r>
        <w:rPr>
          <w:sz w:val="20"/>
        </w:rPr>
        <w:t xml:space="preserve">187. Доля участия выражается в процентах от уставного капитала. Для акционерных обществ указываются также номинальная стоимость и количество акций.</w:t>
      </w:r>
    </w:p>
    <w:p>
      <w:pPr>
        <w:pStyle w:val="0"/>
        <w:spacing w:before="200" w:lineRule="auto"/>
        <w:ind w:firstLine="540"/>
        <w:jc w:val="both"/>
      </w:pPr>
      <w:r>
        <w:rPr>
          <w:sz w:val="20"/>
        </w:rPr>
        <w:t xml:space="preserve">188. В СПО "Справки БК" предусмотрена графа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w:t>
      </w:r>
    </w:p>
    <w:p>
      <w:pPr>
        <w:pStyle w:val="0"/>
        <w:spacing w:before="200" w:lineRule="auto"/>
        <w:ind w:firstLine="540"/>
        <w:jc w:val="both"/>
      </w:pPr>
      <w:r>
        <w:rPr>
          <w:sz w:val="20"/>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Данное поле может не отображаться в распечатанной </w:t>
      </w:r>
      <w:hyperlink w:history="0" r:id="rId38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но его заполнение является необходимым для корректного отображения в </w:t>
      </w:r>
      <w:hyperlink w:history="0" r:id="rId38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 5</w:t>
        </w:r>
      </w:hyperlink>
      <w:r>
        <w:rPr>
          <w:sz w:val="20"/>
        </w:rPr>
        <w:t xml:space="preserve">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w:t>
      </w:r>
      <w:hyperlink w:history="0" r:id="rId38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разделу 5</w:t>
        </w:r>
      </w:hyperlink>
      <w:r>
        <w:rPr>
          <w:sz w:val="20"/>
        </w:rPr>
        <w:t xml:space="preserve"> справки.</w:t>
      </w:r>
    </w:p>
    <w:p>
      <w:pPr>
        <w:pStyle w:val="0"/>
        <w:spacing w:before="200" w:lineRule="auto"/>
        <w:ind w:firstLine="540"/>
        <w:jc w:val="both"/>
      </w:pPr>
      <w:r>
        <w:rPr>
          <w:sz w:val="20"/>
        </w:rPr>
        <w:t xml:space="preserve">189. В </w:t>
      </w:r>
      <w:hyperlink w:history="0" r:id="rId38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pPr>
        <w:pStyle w:val="0"/>
        <w:spacing w:before="200" w:lineRule="auto"/>
        <w:ind w:firstLine="540"/>
        <w:jc w:val="both"/>
      </w:pPr>
      <w:r>
        <w:rPr>
          <w:sz w:val="20"/>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w:t>
      </w:r>
      <w:hyperlink w:history="0" r:id="rId39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участия" указывается "приобретено на организованных торгах", а также указывается год приобретения.</w:t>
      </w:r>
    </w:p>
    <w:p>
      <w:pPr>
        <w:pStyle w:val="0"/>
        <w:ind w:firstLine="540"/>
        <w:jc w:val="both"/>
      </w:pPr>
      <w:r>
        <w:rPr>
          <w:sz w:val="20"/>
        </w:rPr>
      </w:r>
    </w:p>
    <w:p>
      <w:pPr>
        <w:pStyle w:val="2"/>
        <w:outlineLvl w:val="2"/>
        <w:ind w:firstLine="540"/>
        <w:jc w:val="both"/>
      </w:pPr>
      <w:hyperlink w:history="0" r:id="rId39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5.2</w:t>
        </w:r>
      </w:hyperlink>
      <w:r>
        <w:rPr>
          <w:sz w:val="20"/>
        </w:rPr>
        <w:t xml:space="preserve">. Иные ценные бумаги</w:t>
      </w:r>
    </w:p>
    <w:p>
      <w:pPr>
        <w:pStyle w:val="0"/>
        <w:spacing w:before="200" w:lineRule="auto"/>
        <w:ind w:firstLine="540"/>
        <w:jc w:val="both"/>
      </w:pPr>
      <w:r>
        <w:rPr>
          <w:sz w:val="20"/>
        </w:rPr>
        <w:t xml:space="preserve">190. В </w:t>
      </w:r>
      <w:hyperlink w:history="0" r:id="rId39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5.2 раздела 5</w:t>
        </w:r>
      </w:hyperlink>
      <w:r>
        <w:rPr>
          <w:sz w:val="20"/>
        </w:rPr>
        <w:t xml:space="preserve"> справки указываются все ценные бумаги по видам (облигации, векселя и другие), за исключением акций, указанных в </w:t>
      </w:r>
      <w:hyperlink w:history="0" r:id="rId39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5.1 раздела 5</w:t>
        </w:r>
      </w:hyperlink>
      <w:r>
        <w:rPr>
          <w:sz w:val="20"/>
        </w:rPr>
        <w:t xml:space="preserve"> справки.</w:t>
      </w:r>
    </w:p>
    <w:p>
      <w:pPr>
        <w:pStyle w:val="0"/>
        <w:spacing w:before="200" w:lineRule="auto"/>
        <w:ind w:firstLine="540"/>
        <w:jc w:val="both"/>
      </w:pPr>
      <w:r>
        <w:rPr>
          <w:sz w:val="20"/>
        </w:rPr>
        <w:t xml:space="preserve">191. В </w:t>
      </w:r>
      <w:hyperlink w:history="0" r:id="rId39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"Номинальная величина обязательства (руб.)" отражается номинальная стоимость на отчетную дату. В данной </w:t>
      </w:r>
      <w:hyperlink w:history="0" r:id="rId39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w:t>
      </w:r>
      <w:hyperlink w:history="0" r:id="rId39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не заполняется.</w:t>
      </w:r>
    </w:p>
    <w:p>
      <w:pPr>
        <w:pStyle w:val="0"/>
        <w:spacing w:before="200" w:lineRule="auto"/>
        <w:ind w:firstLine="540"/>
        <w:jc w:val="both"/>
      </w:pPr>
      <w:r>
        <w:rPr>
          <w:sz w:val="20"/>
        </w:rPr>
        <w:t xml:space="preserve">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pPr>
        <w:pStyle w:val="0"/>
        <w:spacing w:before="200" w:lineRule="auto"/>
        <w:ind w:firstLine="540"/>
        <w:jc w:val="both"/>
      </w:pPr>
      <w:r>
        <w:rPr>
          <w:sz w:val="20"/>
        </w:rPr>
        <w:t xml:space="preserve">192. В </w:t>
      </w:r>
      <w:hyperlink w:history="0" r:id="rId39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w:t>
      </w:r>
      <w:hyperlink w:history="0" r:id="rId39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графу</w:t>
        </w:r>
      </w:hyperlink>
      <w:r>
        <w:rPr>
          <w:sz w:val="20"/>
        </w:rPr>
        <w:t xml:space="preserve"> предзаполняет, исходя из значений в позициях "</w:t>
      </w:r>
      <w:hyperlink w:history="0" r:id="rId39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Номинальная величина</w:t>
        </w:r>
      </w:hyperlink>
      <w:r>
        <w:rPr>
          <w:sz w:val="20"/>
        </w:rPr>
        <w:t xml:space="preserve"> обязательства (руб.)" и </w:t>
      </w:r>
      <w:hyperlink w:history="0" r:id="rId40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"Общее количество"</w:t>
        </w:r>
      </w:hyperlink>
      <w:r>
        <w:rPr>
          <w:sz w:val="20"/>
        </w:rPr>
        <w:t xml:space="preserve">. Вместе с тем если известна стоимость приобретения, то данная информация приоритетна при заполнении рассматриваемой </w:t>
      </w:r>
      <w:hyperlink w:history="0" r:id="rId40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графы</w:t>
        </w:r>
      </w:hyperlink>
      <w:r>
        <w:rPr>
          <w:sz w:val="20"/>
        </w:rPr>
        <w:t xml:space="preserve">.</w:t>
      </w:r>
    </w:p>
    <w:p>
      <w:pPr>
        <w:pStyle w:val="0"/>
        <w:spacing w:before="200" w:lineRule="auto"/>
        <w:ind w:firstLine="540"/>
        <w:jc w:val="both"/>
      </w:pPr>
      <w:r>
        <w:rPr>
          <w:sz w:val="20"/>
        </w:rPr>
        <w:t xml:space="preserve">Для значений, выраженных в иностранной валюте, стоимость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193. 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w:t>
      </w:r>
      <w:hyperlink w:history="0" r:id="rId402"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pPr>
        <w:pStyle w:val="0"/>
        <w:spacing w:before="200" w:lineRule="auto"/>
        <w:ind w:firstLine="540"/>
        <w:jc w:val="both"/>
      </w:pPr>
      <w:r>
        <w:rPr>
          <w:sz w:val="20"/>
        </w:rPr>
        <w:t xml:space="preserve">Данное положение, а также иные особенности владения государственными гражданскими служащими Российской Федерации ценных бумаг содержатся в </w:t>
      </w:r>
      <w:hyperlink w:history="0" r:id="rId403" w:tooltip="&lt;Письмо&gt; Минтруда России от 22.09.2022 N 28-7/10/В-12862 &lt;О методических материалах касающихся возможности приобретения государственными гражданскими служащими Российской Федерации ценных бумаг в собственность&gt; {КонсультантПлюс}">
        <w:r>
          <w:rPr>
            <w:sz w:val="20"/>
            <w:color w:val="0000ff"/>
          </w:rPr>
          <w:t xml:space="preserve">письме</w:t>
        </w:r>
      </w:hyperlink>
      <w:r>
        <w:rPr>
          <w:sz w:val="20"/>
        </w:rPr>
        <w:t xml:space="preserve"> Минтруда России от 22 сентября 2022 г. N 28-7/10/В-12862 (</w:t>
      </w:r>
      <w:hyperlink w:history="0" r:id="rId404">
        <w:r>
          <w:rPr>
            <w:sz w:val="20"/>
            <w:color w:val="0000ff"/>
          </w:rPr>
          <w:t xml:space="preserve">https://mintrud.gov.ru/ministry/programms/anticorruption/9/21</w:t>
        </w:r>
      </w:hyperlink>
      <w:r>
        <w:rPr>
          <w:sz w:val="20"/>
        </w:rPr>
        <w:t xml:space="preserve">).</w:t>
      </w:r>
    </w:p>
    <w:p>
      <w:pPr>
        <w:pStyle w:val="0"/>
        <w:jc w:val="both"/>
      </w:pPr>
      <w:r>
        <w:rPr>
          <w:sz w:val="20"/>
        </w:rPr>
      </w:r>
    </w:p>
    <w:p>
      <w:pPr>
        <w:pStyle w:val="2"/>
        <w:outlineLvl w:val="1"/>
        <w:jc w:val="center"/>
      </w:pPr>
      <w:hyperlink w:history="0" r:id="rId40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6</w:t>
        </w:r>
      </w:hyperlink>
      <w:r>
        <w:rPr>
          <w:sz w:val="20"/>
        </w:rPr>
        <w:t xml:space="preserve">. СВЕДЕНИЯ ОБ ОБЯЗАТЕЛЬСТВАХ</w:t>
      </w:r>
    </w:p>
    <w:p>
      <w:pPr>
        <w:pStyle w:val="2"/>
        <w:jc w:val="center"/>
      </w:pPr>
      <w:r>
        <w:rPr>
          <w:sz w:val="20"/>
        </w:rPr>
        <w:t xml:space="preserve">ИМУЩЕСТВЕННОГО ХАРАКТЕРА</w:t>
      </w:r>
    </w:p>
    <w:p>
      <w:pPr>
        <w:pStyle w:val="0"/>
        <w:jc w:val="both"/>
      </w:pPr>
      <w:r>
        <w:rPr>
          <w:sz w:val="20"/>
        </w:rPr>
      </w:r>
    </w:p>
    <w:p>
      <w:pPr>
        <w:pStyle w:val="2"/>
        <w:outlineLvl w:val="2"/>
        <w:ind w:firstLine="540"/>
        <w:jc w:val="both"/>
      </w:pPr>
      <w:hyperlink w:history="0" r:id="rId40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6.1</w:t>
        </w:r>
      </w:hyperlink>
      <w:r>
        <w:rPr>
          <w:sz w:val="20"/>
        </w:rPr>
        <w:t xml:space="preserve">. Объекты недвижимого имущества, находящиеся в пользовании</w:t>
      </w:r>
    </w:p>
    <w:p>
      <w:pPr>
        <w:pStyle w:val="0"/>
        <w:spacing w:before="200" w:lineRule="auto"/>
        <w:ind w:firstLine="540"/>
        <w:jc w:val="both"/>
      </w:pPr>
      <w:r>
        <w:rPr>
          <w:sz w:val="20"/>
        </w:rPr>
        <w:t xml:space="preserve">194. В данном </w:t>
      </w:r>
      <w:hyperlink w:history="0" r:id="rId40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w:t>
      </w:r>
    </w:p>
    <w:p>
      <w:pPr>
        <w:pStyle w:val="0"/>
        <w:spacing w:before="200" w:lineRule="auto"/>
        <w:ind w:firstLine="540"/>
        <w:jc w:val="both"/>
      </w:pPr>
      <w:r>
        <w:rPr>
          <w:sz w:val="20"/>
        </w:rPr>
        <w:t xml:space="preserve">В данном </w:t>
      </w:r>
      <w:hyperlink w:history="0" r:id="rId40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w:t>
      </w:r>
      <w:hyperlink w:history="0" r:id="rId40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195. При заполнении данного </w:t>
      </w:r>
      <w:hyperlink w:history="0" r:id="rId41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pPr>
        <w:pStyle w:val="0"/>
        <w:spacing w:before="200" w:lineRule="auto"/>
        <w:ind w:firstLine="540"/>
        <w:jc w:val="both"/>
      </w:pPr>
      <w:r>
        <w:rPr>
          <w:sz w:val="20"/>
        </w:rPr>
        <w:t xml:space="preserve">Не требуется в данном </w:t>
      </w:r>
      <w:hyperlink w:history="0" r:id="rId41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w:t>
      </w:r>
    </w:p>
    <w:p>
      <w:pPr>
        <w:pStyle w:val="0"/>
        <w:spacing w:before="200" w:lineRule="auto"/>
        <w:ind w:firstLine="540"/>
        <w:jc w:val="both"/>
      </w:pPr>
      <w:r>
        <w:rPr>
          <w:sz w:val="20"/>
        </w:rPr>
        <w:t xml:space="preserve">1) отсутствует фактическое пользование этим объектом супругом;</w:t>
      </w:r>
    </w:p>
    <w:p>
      <w:pPr>
        <w:pStyle w:val="0"/>
        <w:spacing w:before="200" w:lineRule="auto"/>
        <w:ind w:firstLine="540"/>
        <w:jc w:val="both"/>
      </w:pPr>
      <w:r>
        <w:rPr>
          <w:sz w:val="20"/>
        </w:rPr>
        <w:t xml:space="preserve">2) эти объекты указаны в </w:t>
      </w:r>
      <w:hyperlink w:history="0" r:id="rId41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соответствующей справки.</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Так, например, жилое помещение, в котором зарегистрировано лицо, в отношении которого представляется </w:t>
      </w:r>
      <w:hyperlink w:history="0" r:id="rId41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подлежит обязательному отражению в </w:t>
      </w:r>
      <w:hyperlink w:history="0" r:id="rId41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(в случае наличия у такого лица права собственности) или в настоящем </w:t>
      </w:r>
      <w:hyperlink w:history="0" r:id="rId41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справки.</w:t>
      </w:r>
    </w:p>
    <w:p>
      <w:pPr>
        <w:pStyle w:val="0"/>
        <w:spacing w:before="200" w:lineRule="auto"/>
        <w:ind w:firstLine="540"/>
        <w:jc w:val="both"/>
      </w:pPr>
      <w:r>
        <w:rPr>
          <w:sz w:val="20"/>
        </w:rPr>
        <w:t xml:space="preserve">196. Данный </w:t>
      </w:r>
      <w:hyperlink w:history="0" r:id="rId41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pPr>
        <w:pStyle w:val="0"/>
        <w:spacing w:before="200" w:lineRule="auto"/>
        <w:ind w:firstLine="540"/>
        <w:jc w:val="both"/>
      </w:pPr>
      <w:r>
        <w:rPr>
          <w:sz w:val="20"/>
        </w:rPr>
        <w:t xml:space="preserve">197. В том числе указанию подлежат сведения о жилом помещении (дом, квартира, комната), нежилом помещении, земельном участке, гараже и т.д.:</w:t>
      </w:r>
    </w:p>
    <w:p>
      <w:pPr>
        <w:pStyle w:val="0"/>
        <w:spacing w:before="200" w:lineRule="auto"/>
        <w:ind w:firstLine="540"/>
        <w:jc w:val="both"/>
      </w:pPr>
      <w:r>
        <w:rPr>
          <w:sz w:val="20"/>
        </w:rPr>
        <w:t xml:space="preserve">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pPr>
        <w:pStyle w:val="0"/>
        <w:spacing w:before="200" w:lineRule="auto"/>
        <w:ind w:firstLine="540"/>
        <w:jc w:val="both"/>
      </w:pPr>
      <w:r>
        <w:rPr>
          <w:sz w:val="20"/>
        </w:rPr>
        <w:t xml:space="preserve">2) где служащий (работник), члены его семьи фактически проживают без заключения договора аренды, безвозмездного пользования или социального найма;</w:t>
      </w:r>
    </w:p>
    <w:p>
      <w:pPr>
        <w:pStyle w:val="0"/>
        <w:spacing w:before="200" w:lineRule="auto"/>
        <w:ind w:firstLine="540"/>
        <w:jc w:val="both"/>
      </w:pPr>
      <w:r>
        <w:rPr>
          <w:sz w:val="20"/>
        </w:rPr>
        <w:t xml:space="preserve">3) занимаемых по договору аренды (найма, поднайма);</w:t>
      </w:r>
    </w:p>
    <w:p>
      <w:pPr>
        <w:pStyle w:val="0"/>
        <w:spacing w:before="200" w:lineRule="auto"/>
        <w:ind w:firstLine="540"/>
        <w:jc w:val="both"/>
      </w:pPr>
      <w:r>
        <w:rPr>
          <w:sz w:val="20"/>
        </w:rPr>
        <w:t xml:space="preserve">4) занимаемых по договорам социального найма;</w:t>
      </w:r>
    </w:p>
    <w:p>
      <w:pPr>
        <w:pStyle w:val="0"/>
        <w:spacing w:before="200" w:lineRule="auto"/>
        <w:ind w:firstLine="540"/>
        <w:jc w:val="both"/>
      </w:pPr>
      <w:r>
        <w:rPr>
          <w:sz w:val="20"/>
        </w:rPr>
        <w:t xml:space="preserve">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pPr>
        <w:pStyle w:val="0"/>
        <w:spacing w:before="200" w:lineRule="auto"/>
        <w:ind w:firstLine="540"/>
        <w:jc w:val="both"/>
      </w:pPr>
      <w:r>
        <w:rPr>
          <w:sz w:val="20"/>
        </w:rPr>
        <w:t xml:space="preserve">6) принадлежащих на праве пожизненного наследуемого владения земельным участком;</w:t>
      </w:r>
    </w:p>
    <w:p>
      <w:pPr>
        <w:pStyle w:val="0"/>
        <w:spacing w:before="200" w:lineRule="auto"/>
        <w:ind w:firstLine="540"/>
        <w:jc w:val="both"/>
      </w:pPr>
      <w:r>
        <w:rPr>
          <w:sz w:val="20"/>
        </w:rPr>
        <w:t xml:space="preserve">7) переданных объектах по договору или иному акту, но не зарегистрированных в установленном законодательством Российской Федерации порядке.</w:t>
      </w:r>
    </w:p>
    <w:p>
      <w:pPr>
        <w:pStyle w:val="0"/>
        <w:spacing w:before="200" w:lineRule="auto"/>
        <w:ind w:firstLine="540"/>
        <w:jc w:val="both"/>
      </w:pPr>
      <w:r>
        <w:rPr>
          <w:sz w:val="20"/>
        </w:rPr>
        <w:t xml:space="preserve">198. Отражению подлежит также, например, земельный участок, на котором расположен частный дом, находящийся в пользовании.</w:t>
      </w:r>
    </w:p>
    <w:p>
      <w:pPr>
        <w:pStyle w:val="0"/>
        <w:spacing w:before="200" w:lineRule="auto"/>
        <w:ind w:firstLine="540"/>
        <w:jc w:val="both"/>
      </w:pPr>
      <w:r>
        <w:rPr>
          <w:sz w:val="20"/>
        </w:rPr>
        <w:t xml:space="preserve">199. При этом указывается общая площадь объекта недвижимого имущества, находящегося в пользовании.</w:t>
      </w:r>
    </w:p>
    <w:p>
      <w:pPr>
        <w:pStyle w:val="0"/>
        <w:spacing w:before="200" w:lineRule="auto"/>
        <w:ind w:firstLine="540"/>
        <w:jc w:val="both"/>
      </w:pPr>
      <w:r>
        <w:rPr>
          <w:sz w:val="20"/>
        </w:rPr>
        <w:t xml:space="preserve">200. Сведения об объектах недвижимого имущества, находящихся в пользовании, указываются по состоянию на отчетную дату.</w:t>
      </w:r>
    </w:p>
    <w:p>
      <w:pPr>
        <w:pStyle w:val="0"/>
        <w:spacing w:before="200" w:lineRule="auto"/>
        <w:ind w:firstLine="540"/>
        <w:jc w:val="both"/>
      </w:pPr>
      <w:r>
        <w:rPr>
          <w:sz w:val="20"/>
        </w:rPr>
        <w:t xml:space="preserve">201. В </w:t>
      </w:r>
      <w:hyperlink w:history="0" r:id="rId41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имущества" указывается вид недвижимого имущества (земельный участок, жилой дом, дача, квартира, комната и др.).</w:t>
      </w:r>
    </w:p>
    <w:p>
      <w:pPr>
        <w:pStyle w:val="0"/>
        <w:spacing w:before="200" w:lineRule="auto"/>
        <w:ind w:firstLine="540"/>
        <w:jc w:val="both"/>
      </w:pPr>
      <w:r>
        <w:rPr>
          <w:sz w:val="20"/>
        </w:rPr>
        <w:t xml:space="preserve">202. В </w:t>
      </w:r>
      <w:hyperlink w:history="0" r:id="rId41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"Вид и сроки пользования" указываются вид пользования (аренда, безвозмездное пользование и др.) и сроки пользования.</w:t>
      </w:r>
    </w:p>
    <w:p>
      <w:pPr>
        <w:pStyle w:val="0"/>
        <w:spacing w:before="200" w:lineRule="auto"/>
        <w:ind w:firstLine="540"/>
        <w:jc w:val="both"/>
      </w:pPr>
      <w:r>
        <w:rPr>
          <w:sz w:val="20"/>
        </w:rPr>
        <w:t xml:space="preserve">203. В </w:t>
      </w:r>
      <w:hyperlink w:history="0" r:id="rId41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pPr>
        <w:pStyle w:val="0"/>
        <w:spacing w:before="200" w:lineRule="auto"/>
        <w:ind w:firstLine="540"/>
        <w:jc w:val="both"/>
      </w:pPr>
      <w:r>
        <w:rPr>
          <w:sz w:val="20"/>
        </w:rPr>
        <w:t xml:space="preserve">204. В данном </w:t>
      </w:r>
      <w:hyperlink w:history="0" r:id="rId42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указывается недвижимое имущество, которое находится в собственности и уже отражено в </w:t>
      </w:r>
      <w:hyperlink w:history="0" r:id="rId42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справки.</w:t>
      </w:r>
    </w:p>
    <w:p>
      <w:pPr>
        <w:pStyle w:val="0"/>
        <w:spacing w:before="200" w:lineRule="auto"/>
        <w:ind w:firstLine="540"/>
        <w:jc w:val="both"/>
      </w:pPr>
      <w:r>
        <w:rPr>
          <w:sz w:val="20"/>
        </w:rPr>
        <w:t xml:space="preserve">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pPr>
        <w:pStyle w:val="0"/>
        <w:spacing w:before="200" w:lineRule="auto"/>
        <w:ind w:firstLine="540"/>
        <w:jc w:val="both"/>
      </w:pPr>
      <w:r>
        <w:rPr>
          <w:sz w:val="20"/>
        </w:rPr>
        <w:t xml:space="preserve">205. 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w:t>
      </w:r>
      <w:hyperlink w:history="0" r:id="rId42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6.1 раздела 6</w:t>
        </w:r>
      </w:hyperlink>
      <w:r>
        <w:rPr>
          <w:sz w:val="20"/>
        </w:rPr>
        <w:t xml:space="preserve"> справки не вносятся.</w:t>
      </w:r>
    </w:p>
    <w:p>
      <w:pPr>
        <w:pStyle w:val="0"/>
        <w:spacing w:before="200" w:lineRule="auto"/>
        <w:ind w:firstLine="540"/>
        <w:jc w:val="both"/>
      </w:pPr>
      <w:r>
        <w:rPr>
          <w:sz w:val="20"/>
        </w:rPr>
        <w:t xml:space="preserve">При этом данные доли собственности должны быть отражены в </w:t>
      </w:r>
      <w:hyperlink w:history="0" r:id="rId42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3.1 раздела 3</w:t>
        </w:r>
      </w:hyperlink>
      <w:r>
        <w:rPr>
          <w:sz w:val="20"/>
        </w:rPr>
        <w:t xml:space="preserve"> справок служащего (работника) и его супруги (супруга).</w:t>
      </w:r>
    </w:p>
    <w:p>
      <w:pPr>
        <w:pStyle w:val="0"/>
        <w:spacing w:before="200" w:lineRule="auto"/>
        <w:ind w:firstLine="540"/>
        <w:jc w:val="both"/>
      </w:pPr>
      <w:r>
        <w:rPr>
          <w:sz w:val="20"/>
        </w:rPr>
        <w:t xml:space="preserve">Аналогично в отношении несовершеннолетних детей.</w:t>
      </w:r>
    </w:p>
    <w:p>
      <w:pPr>
        <w:pStyle w:val="0"/>
        <w:spacing w:before="200" w:lineRule="auto"/>
        <w:ind w:firstLine="540"/>
        <w:jc w:val="both"/>
      </w:pPr>
      <w:r>
        <w:rPr>
          <w:sz w:val="20"/>
        </w:rPr>
        <w:t xml:space="preserve">В иных случаях, при которых доля собственности находится у лица, в отношении которого </w:t>
      </w:r>
      <w:hyperlink w:history="0" r:id="rId42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не представляется, такая доля подлежит отражению в данном </w:t>
      </w:r>
      <w:hyperlink w:history="0" r:id="rId42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при наличии фактов пользования.</w:t>
      </w:r>
    </w:p>
    <w:p>
      <w:pPr>
        <w:pStyle w:val="0"/>
        <w:spacing w:before="200" w:lineRule="auto"/>
        <w:ind w:firstLine="540"/>
        <w:jc w:val="both"/>
      </w:pPr>
      <w:r>
        <w:rPr>
          <w:sz w:val="20"/>
        </w:rPr>
        <w:t xml:space="preserve">206. </w:t>
      </w:r>
      <w:hyperlink w:history="0" r:id="rId42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Графа</w:t>
        </w:r>
      </w:hyperlink>
      <w:r>
        <w:rPr>
          <w:sz w:val="20"/>
        </w:rPr>
        <w:t xml:space="preserve"> "Площадь (кв. м)" заполняется на основании правоустанавливающих документов, а в случае их отсутствия - исходя из фактических значений.</w:t>
      </w:r>
    </w:p>
    <w:p>
      <w:pPr>
        <w:pStyle w:val="0"/>
        <w:ind w:firstLine="540"/>
        <w:jc w:val="both"/>
      </w:pPr>
      <w:r>
        <w:rPr>
          <w:sz w:val="20"/>
        </w:rPr>
      </w:r>
    </w:p>
    <w:p>
      <w:pPr>
        <w:pStyle w:val="2"/>
        <w:outlineLvl w:val="2"/>
        <w:ind w:firstLine="540"/>
        <w:jc w:val="both"/>
      </w:pPr>
      <w:hyperlink w:history="0" r:id="rId42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 6.2</w:t>
        </w:r>
      </w:hyperlink>
      <w:r>
        <w:rPr>
          <w:sz w:val="20"/>
        </w:rPr>
        <w:t xml:space="preserve">. Срочные обязательства финансового характера</w:t>
      </w:r>
    </w:p>
    <w:p>
      <w:pPr>
        <w:pStyle w:val="0"/>
        <w:spacing w:before="200" w:lineRule="auto"/>
        <w:ind w:firstLine="540"/>
        <w:jc w:val="both"/>
      </w:pPr>
      <w:r>
        <w:rPr>
          <w:sz w:val="20"/>
        </w:rPr>
        <w:t xml:space="preserve">207. В данном </w:t>
      </w:r>
      <w:hyperlink w:history="0" r:id="rId42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pPr>
        <w:pStyle w:val="0"/>
        <w:spacing w:before="200" w:lineRule="auto"/>
        <w:ind w:firstLine="540"/>
        <w:jc w:val="both"/>
      </w:pPr>
      <w:r>
        <w:rPr>
          <w:sz w:val="20"/>
        </w:rPr>
        <w:t xml:space="preserve">В данном </w:t>
      </w:r>
      <w:hyperlink w:history="0" r:id="rId42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w:t>
      </w:r>
      <w:hyperlink w:history="0" r:id="rId43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Данный </w:t>
      </w:r>
      <w:hyperlink w:history="0" r:id="rId43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w:t>
        </w:r>
      </w:hyperlink>
      <w:r>
        <w:rPr>
          <w:sz w:val="20"/>
        </w:rPr>
        <w:t xml:space="preserve"> также подлежит заполнению в случае, если лицо, в отношении которого представляются Сведения, является созаемщиком.</w:t>
      </w:r>
    </w:p>
    <w:p>
      <w:pPr>
        <w:pStyle w:val="0"/>
        <w:spacing w:before="200" w:lineRule="auto"/>
        <w:ind w:firstLine="540"/>
        <w:jc w:val="both"/>
      </w:pPr>
      <w:r>
        <w:rPr>
          <w:sz w:val="20"/>
        </w:rPr>
        <w:t xml:space="preserve">208. В </w:t>
      </w:r>
      <w:hyperlink w:history="0" r:id="rId43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pPr>
        <w:pStyle w:val="0"/>
        <w:spacing w:before="200" w:lineRule="auto"/>
        <w:ind w:firstLine="540"/>
        <w:jc w:val="both"/>
      </w:pPr>
      <w:r>
        <w:rPr>
          <w:sz w:val="20"/>
        </w:rPr>
        <w:t xml:space="preserve">209. В </w:t>
      </w:r>
      <w:hyperlink w:history="0" r:id="rId43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1) если служащий (работник) или его супруга (супруг) взял(-а) кредит в ПАО Сбербанк и является должником, то в </w:t>
      </w:r>
      <w:hyperlink w:history="0" r:id="rId43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указывается вторая сторона обязательства: кредитор ПАО Сбербанк;</w:t>
      </w:r>
    </w:p>
    <w:p>
      <w:pPr>
        <w:pStyle w:val="0"/>
        <w:spacing w:before="200" w:lineRule="auto"/>
        <w:ind w:firstLine="540"/>
        <w:jc w:val="both"/>
      </w:pPr>
      <w:r>
        <w:rPr>
          <w:sz w:val="20"/>
        </w:rPr>
        <w:t xml:space="preserve">2) если служащий (работник) или его супруга (супруг) заключил(-а) договор займа денежных средств и является займодавцем, то в </w:t>
      </w:r>
      <w:hyperlink w:history="0" r:id="rId43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w:t>
      </w:r>
    </w:p>
    <w:p>
      <w:pPr>
        <w:pStyle w:val="0"/>
        <w:spacing w:before="200" w:lineRule="auto"/>
        <w:ind w:firstLine="540"/>
        <w:jc w:val="both"/>
      </w:pPr>
      <w:r>
        <w:rPr>
          <w:sz w:val="20"/>
        </w:rPr>
        <w:t xml:space="preserve">210. В </w:t>
      </w:r>
      <w:hyperlink w:history="0" r:id="rId43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возникновения" указываются основание возникновения обязательства, а также реквизиты (дата, номер) соответствующего договора или акта.</w:t>
      </w:r>
    </w:p>
    <w:p>
      <w:pPr>
        <w:pStyle w:val="0"/>
        <w:spacing w:before="200" w:lineRule="auto"/>
        <w:ind w:firstLine="540"/>
        <w:jc w:val="both"/>
      </w:pPr>
      <w:r>
        <w:rPr>
          <w:sz w:val="20"/>
        </w:rPr>
        <w:t xml:space="preserve">211. В </w:t>
      </w:r>
      <w:hyperlink w:history="0" r:id="rId43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указываются:</w:t>
      </w:r>
    </w:p>
    <w:p>
      <w:pPr>
        <w:pStyle w:val="0"/>
        <w:spacing w:before="200" w:lineRule="auto"/>
        <w:ind w:firstLine="540"/>
        <w:jc w:val="both"/>
      </w:pPr>
      <w:r>
        <w:rPr>
          <w:sz w:val="20"/>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w:t>
      </w:r>
    </w:p>
    <w:p>
      <w:pPr>
        <w:pStyle w:val="0"/>
        <w:spacing w:before="200" w:lineRule="auto"/>
        <w:ind w:firstLine="540"/>
        <w:jc w:val="both"/>
      </w:pPr>
      <w:r>
        <w:rPr>
          <w:sz w:val="20"/>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w:t>
      </w:r>
    </w:p>
    <w:p>
      <w:pPr>
        <w:pStyle w:val="0"/>
        <w:spacing w:before="200" w:lineRule="auto"/>
        <w:ind w:firstLine="540"/>
        <w:jc w:val="both"/>
      </w:pPr>
      <w:r>
        <w:rPr>
          <w:sz w:val="20"/>
        </w:rPr>
        <w:t xml:space="preserve">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212. 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w:t>
      </w:r>
      <w:hyperlink w:history="0" r:id="rId43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указывается. При этом отражение такого обязательства в </w:t>
      </w:r>
      <w:hyperlink w:history="0" r:id="rId43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не является нарушением.</w:t>
      </w:r>
    </w:p>
    <w:p>
      <w:pPr>
        <w:pStyle w:val="0"/>
        <w:spacing w:before="200" w:lineRule="auto"/>
        <w:ind w:firstLine="540"/>
        <w:jc w:val="both"/>
      </w:pPr>
      <w:r>
        <w:rPr>
          <w:sz w:val="20"/>
        </w:rPr>
        <w:t xml:space="preserve">213. В </w:t>
      </w:r>
      <w:hyperlink w:history="0" r:id="rId44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pPr>
        <w:pStyle w:val="0"/>
        <w:spacing w:before="200" w:lineRule="auto"/>
        <w:ind w:firstLine="540"/>
        <w:jc w:val="both"/>
      </w:pPr>
      <w:r>
        <w:rPr>
          <w:sz w:val="20"/>
        </w:rPr>
        <w:t xml:space="preserve">214. Помимо прочего подлежат указанию:</w:t>
      </w:r>
    </w:p>
    <w:p>
      <w:pPr>
        <w:pStyle w:val="0"/>
        <w:spacing w:before="200" w:lineRule="auto"/>
        <w:ind w:firstLine="540"/>
        <w:jc w:val="both"/>
      </w:pPr>
      <w:r>
        <w:rPr>
          <w:sz w:val="20"/>
        </w:rPr>
        <w:t xml:space="preserve">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pPr>
        <w:pStyle w:val="0"/>
        <w:spacing w:before="200" w:lineRule="auto"/>
        <w:ind w:firstLine="540"/>
        <w:jc w:val="both"/>
      </w:pPr>
      <w:r>
        <w:rPr>
          <w:sz w:val="20"/>
        </w:rPr>
        <w:t xml:space="preserve">2) договор финансовой аренды (лизинг);</w:t>
      </w:r>
    </w:p>
    <w:p>
      <w:pPr>
        <w:pStyle w:val="0"/>
        <w:spacing w:before="200" w:lineRule="auto"/>
        <w:ind w:firstLine="540"/>
        <w:jc w:val="both"/>
      </w:pPr>
      <w:r>
        <w:rPr>
          <w:sz w:val="20"/>
        </w:rPr>
        <w:t xml:space="preserve">3) договор займа;</w:t>
      </w:r>
    </w:p>
    <w:p>
      <w:pPr>
        <w:pStyle w:val="0"/>
        <w:spacing w:before="200" w:lineRule="auto"/>
        <w:ind w:firstLine="540"/>
        <w:jc w:val="both"/>
      </w:pPr>
      <w:r>
        <w:rPr>
          <w:sz w:val="20"/>
        </w:rPr>
        <w:t xml:space="preserve">4) договор финансирования под уступку денежного требования;</w:t>
      </w:r>
    </w:p>
    <w:p>
      <w:pPr>
        <w:pStyle w:val="0"/>
        <w:spacing w:before="200" w:lineRule="auto"/>
        <w:ind w:firstLine="540"/>
        <w:jc w:val="both"/>
      </w:pPr>
      <w:r>
        <w:rPr>
          <w:sz w:val="20"/>
        </w:rPr>
        <w:t xml:space="preserve">5) обязательства, связанные с заключением договора об уступке права требования;</w:t>
      </w:r>
    </w:p>
    <w:p>
      <w:pPr>
        <w:pStyle w:val="0"/>
        <w:spacing w:before="200" w:lineRule="auto"/>
        <w:ind w:firstLine="540"/>
        <w:jc w:val="both"/>
      </w:pPr>
      <w:r>
        <w:rPr>
          <w:sz w:val="20"/>
        </w:rPr>
        <w:t xml:space="preserve">6) обязательства вследствие причинения вреда (финансовые);</w:t>
      </w:r>
    </w:p>
    <w:p>
      <w:pPr>
        <w:pStyle w:val="0"/>
        <w:spacing w:before="200" w:lineRule="auto"/>
        <w:ind w:firstLine="540"/>
        <w:jc w:val="both"/>
      </w:pPr>
      <w:r>
        <w:rPr>
          <w:sz w:val="20"/>
        </w:rPr>
        <w:t xml:space="preserve">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pPr>
        <w:pStyle w:val="0"/>
        <w:spacing w:before="200" w:lineRule="auto"/>
        <w:ind w:firstLine="540"/>
        <w:jc w:val="both"/>
      </w:pPr>
      <w:r>
        <w:rPr>
          <w:sz w:val="20"/>
        </w:rPr>
        <w:t xml:space="preserve">8) обязательства по уплате алиментов (если по состоянию на отчетную дату сумма невыплаченных алиментов равна или превышает 500 000 руб.);</w:t>
      </w:r>
    </w:p>
    <w:p>
      <w:pPr>
        <w:pStyle w:val="0"/>
        <w:spacing w:before="200" w:lineRule="auto"/>
        <w:ind w:firstLine="540"/>
        <w:jc w:val="both"/>
      </w:pPr>
      <w:r>
        <w:rPr>
          <w:sz w:val="20"/>
        </w:rPr>
        <w:t xml:space="preserve">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pPr>
        <w:pStyle w:val="0"/>
        <w:spacing w:before="200" w:lineRule="auto"/>
        <w:ind w:firstLine="540"/>
        <w:jc w:val="both"/>
      </w:pPr>
      <w:r>
        <w:rPr>
          <w:sz w:val="20"/>
        </w:rPr>
        <w:t xml:space="preserve">10) выкупленная дебиторская задолженность;</w:t>
      </w:r>
    </w:p>
    <w:p>
      <w:pPr>
        <w:pStyle w:val="0"/>
        <w:spacing w:before="200" w:lineRule="auto"/>
        <w:ind w:firstLine="540"/>
        <w:jc w:val="both"/>
      </w:pPr>
      <w:r>
        <w:rPr>
          <w:sz w:val="20"/>
        </w:rPr>
        <w:t xml:space="preserve">11) финансовые обязательства, участником которых в силу Федерального </w:t>
      </w:r>
      <w:hyperlink w:history="0" r:id="rId441" w:tooltip="Федеральный закон от 23.12.2003 N 177-ФЗ (ред. от 31.07.2025) &quot;О страховании вкладов в банках Российской Федерации&quot; (с изм. и доп., вступ. в силу с 14.12.2025) {КонсультантПлюс}">
        <w:r>
          <w:rPr>
            <w:sz w:val="20"/>
            <w:color w:val="0000ff"/>
          </w:rPr>
          <w:t xml:space="preserve">закона</w:t>
        </w:r>
      </w:hyperlink>
      <w:r>
        <w:rPr>
          <w:sz w:val="20"/>
        </w:rPr>
        <w:t xml:space="preserve"> от 23 декабря 2003 г. N 177-ФЗ "О страховании вкладов в банках Российской Федерации" является государственная корпорация "Агентство по страхованию вкладов";</w:t>
      </w:r>
    </w:p>
    <w:p>
      <w:pPr>
        <w:pStyle w:val="0"/>
        <w:spacing w:before="200" w:lineRule="auto"/>
        <w:ind w:firstLine="540"/>
        <w:jc w:val="both"/>
      </w:pPr>
      <w:r>
        <w:rPr>
          <w:sz w:val="20"/>
        </w:rPr>
        <w:t xml:space="preserve">12) предоставленные брокером займы (т.н. "маржинальные сделки");</w:t>
      </w:r>
    </w:p>
    <w:p>
      <w:pPr>
        <w:pStyle w:val="0"/>
        <w:spacing w:before="200" w:lineRule="auto"/>
        <w:ind w:firstLine="540"/>
        <w:jc w:val="both"/>
      </w:pPr>
      <w:r>
        <w:rPr>
          <w:sz w:val="20"/>
        </w:rPr>
        <w:t xml:space="preserve">13) обязательства по незакрытым сделкам РЕПО и СВОП (у клиента имеются требования и обязательства по этим сделкам);</w:t>
      </w:r>
    </w:p>
    <w:p>
      <w:pPr>
        <w:pStyle w:val="0"/>
        <w:spacing w:before="200" w:lineRule="auto"/>
        <w:ind w:firstLine="540"/>
        <w:jc w:val="both"/>
      </w:pPr>
      <w:r>
        <w:rPr>
          <w:sz w:val="20"/>
        </w:rPr>
        <w:t xml:space="preserve">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pPr>
        <w:pStyle w:val="0"/>
        <w:spacing w:before="200" w:lineRule="auto"/>
        <w:ind w:firstLine="540"/>
        <w:jc w:val="both"/>
      </w:pPr>
      <w:r>
        <w:rPr>
          <w:sz w:val="20"/>
        </w:rPr>
        <w:t xml:space="preserve">14) фьючерсный договор;</w:t>
      </w:r>
    </w:p>
    <w:p>
      <w:pPr>
        <w:pStyle w:val="0"/>
        <w:spacing w:before="200" w:lineRule="auto"/>
        <w:ind w:firstLine="540"/>
        <w:jc w:val="both"/>
      </w:pPr>
      <w:r>
        <w:rPr>
          <w:sz w:val="20"/>
        </w:rPr>
        <w:t xml:space="preserve">15) иные обязательства, в том числе установленные решением суда.</w:t>
      </w:r>
    </w:p>
    <w:p>
      <w:pPr>
        <w:pStyle w:val="0"/>
        <w:spacing w:before="200" w:lineRule="auto"/>
        <w:ind w:firstLine="540"/>
        <w:jc w:val="both"/>
      </w:pPr>
      <w:r>
        <w:rPr>
          <w:sz w:val="20"/>
        </w:rPr>
        <w:t xml:space="preserve">215. При этом в данном </w:t>
      </w:r>
      <w:hyperlink w:history="0" r:id="rId44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не указываются, например, договор срочного банковского вклада.</w:t>
      </w:r>
    </w:p>
    <w:p>
      <w:pPr>
        <w:pStyle w:val="0"/>
        <w:spacing w:before="200" w:lineRule="auto"/>
        <w:ind w:firstLine="540"/>
        <w:jc w:val="both"/>
      </w:pPr>
      <w:r>
        <w:rPr>
          <w:sz w:val="20"/>
        </w:rPr>
        <w:t xml:space="preserve">216. Для заполнения данного </w:t>
      </w:r>
      <w:hyperlink w:history="0" r:id="rId44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подраздела</w:t>
        </w:r>
      </w:hyperlink>
      <w:r>
        <w:rPr>
          <w:sz w:val="20"/>
        </w:rPr>
        <w:t xml:space="preserve">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w:t>
      </w:r>
      <w:hyperlink w:history="0" r:id="rId44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w:t>
      </w:r>
    </w:p>
    <w:p>
      <w:pPr>
        <w:pStyle w:val="0"/>
        <w:spacing w:before="200" w:lineRule="auto"/>
        <w:ind w:firstLine="540"/>
        <w:jc w:val="both"/>
      </w:pPr>
      <w:r>
        <w:rPr>
          <w:sz w:val="20"/>
        </w:rPr>
        <w:t xml:space="preserve">217. Отдельные виды срочных обязательств финансового характера:</w:t>
      </w:r>
    </w:p>
    <w:p>
      <w:pPr>
        <w:pStyle w:val="0"/>
        <w:spacing w:before="200" w:lineRule="auto"/>
        <w:ind w:firstLine="540"/>
        <w:jc w:val="both"/>
      </w:pPr>
      <w:r>
        <w:rPr>
          <w:sz w:val="20"/>
        </w:rPr>
        <w:t xml:space="preserve">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w:t>
      </w:r>
      <w:hyperlink w:history="0" r:id="rId44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 При этом не имеет значения, оформлялся ли кредитный договор с банком или иной кредитной организацией для оплаты по указанному договору.</w:t>
      </w:r>
    </w:p>
    <w:p>
      <w:pPr>
        <w:pStyle w:val="0"/>
        <w:spacing w:before="200" w:lineRule="auto"/>
        <w:ind w:firstLine="540"/>
        <w:jc w:val="both"/>
      </w:pPr>
      <w:r>
        <w:rPr>
          <w:sz w:val="20"/>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w:t>
      </w:r>
      <w:hyperlink w:history="0" r:id="rId44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В этом случае в </w:t>
      </w:r>
      <w:hyperlink w:history="0" r:id="rId44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hyperlink w:history="0" r:id="rId44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подразделу</w:t>
        </w:r>
      </w:hyperlink>
      <w:r>
        <w:rPr>
          <w:sz w:val="20"/>
        </w:rPr>
        <w:t xml:space="preserve"> справки, при этом в </w:t>
      </w:r>
      <w:hyperlink w:history="0" r:id="rId44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"Условие обязательства" можно отразить, что денежные средства переданы застройщику в полном объеме. В </w:t>
      </w:r>
      <w:hyperlink w:history="0" r:id="rId45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pPr>
        <w:pStyle w:val="0"/>
        <w:spacing w:before="200" w:lineRule="auto"/>
        <w:ind w:firstLine="540"/>
        <w:jc w:val="both"/>
      </w:pPr>
      <w:r>
        <w:rPr>
          <w:sz w:val="20"/>
        </w:rPr>
        <w:t xml:space="preserve">Данный порядок применяется также в случае использования счетов эскроу.</w:t>
      </w:r>
    </w:p>
    <w:p>
      <w:pPr>
        <w:pStyle w:val="0"/>
        <w:spacing w:before="200" w:lineRule="auto"/>
        <w:ind w:firstLine="540"/>
        <w:jc w:val="both"/>
      </w:pPr>
      <w:r>
        <w:rPr>
          <w:sz w:val="20"/>
        </w:rPr>
        <w:t xml:space="preserve">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w:t>
      </w:r>
      <w:hyperlink w:history="0" r:id="rId45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 то в применимых графах указывается полная стоимость.</w:t>
      </w:r>
    </w:p>
    <w:p>
      <w:pPr>
        <w:pStyle w:val="0"/>
        <w:spacing w:before="200" w:lineRule="auto"/>
        <w:ind w:firstLine="540"/>
        <w:jc w:val="both"/>
      </w:pPr>
      <w:r>
        <w:rPr>
          <w:sz w:val="20"/>
        </w:rPr>
        <w:t xml:space="preserve">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pPr>
        <w:pStyle w:val="0"/>
        <w:spacing w:before="200" w:lineRule="auto"/>
        <w:ind w:firstLine="540"/>
        <w:jc w:val="both"/>
      </w:pPr>
      <w:r>
        <w:rPr>
          <w:sz w:val="20"/>
        </w:rPr>
        <w:t xml:space="preserve">2) обязательства по ипотеке в случае разделения суммы кредита между супругами. Согласно </w:t>
      </w:r>
      <w:hyperlink w:history="0" r:id="rId452" w:tooltip="Федеральный закон от 16.07.1998 N 102-ФЗ (ред. от 31.07.2025) &quot;Об ипотеке (залоге недвижимости)&quot; (с изм. и доп., вступ. в силу с 01.10.2025) {КонсультантПлюс}">
        <w:r>
          <w:rPr>
            <w:sz w:val="20"/>
            <w:color w:val="0000ff"/>
          </w:rPr>
          <w:t xml:space="preserve">пунктам 4</w:t>
        </w:r>
      </w:hyperlink>
      <w:r>
        <w:rPr>
          <w:sz w:val="20"/>
        </w:rPr>
        <w:t xml:space="preserve"> и </w:t>
      </w:r>
      <w:hyperlink w:history="0" r:id="rId453" w:tooltip="Федеральный закон от 16.07.1998 N 102-ФЗ (ред. от 31.07.2025) &quot;Об ипотеке (залоге недвижимости)&quot; (с изм. и доп., вступ. в силу с 01.10.2025) {КонсультантПлюс}">
        <w:r>
          <w:rPr>
            <w:sz w:val="20"/>
            <w:color w:val="0000ff"/>
          </w:rPr>
          <w:t xml:space="preserve">5 статьи 9</w:t>
        </w:r>
      </w:hyperlink>
      <w:r>
        <w:rPr>
          <w:sz w:val="20"/>
        </w:rPr>
        <w:t xml:space="preserve"> Федерального закона от 16 июля 1998 г. N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pPr>
        <w:pStyle w:val="0"/>
        <w:spacing w:before="200" w:lineRule="auto"/>
        <w:ind w:firstLine="540"/>
        <w:jc w:val="both"/>
      </w:pPr>
      <w:r>
        <w:rPr>
          <w:sz w:val="20"/>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w:t>
      </w:r>
      <w:hyperlink w:history="0" r:id="rId45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"Сумма обязательства/размер обязательства по состоянию на отчетную дату (руб.)" следует отразить в каждой </w:t>
      </w:r>
      <w:hyperlink w:history="0" r:id="rId45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справке</w:t>
        </w:r>
      </w:hyperlink>
      <w:r>
        <w:rPr>
          <w:sz w:val="20"/>
        </w:rPr>
        <w:t xml:space="preserve">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w:t>
      </w:r>
      <w:hyperlink w:history="0" r:id="rId45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"Условие обязательства" названного подраздела указать созаемщиков.</w:t>
      </w:r>
    </w:p>
    <w:bookmarkStart w:id="828" w:name="P828"/>
    <w:bookmarkEnd w:id="828"/>
    <w:p>
      <w:pPr>
        <w:pStyle w:val="0"/>
        <w:spacing w:before="200" w:lineRule="auto"/>
        <w:ind w:firstLine="540"/>
        <w:jc w:val="both"/>
      </w:pPr>
      <w:r>
        <w:rPr>
          <w:sz w:val="20"/>
        </w:rPr>
        <w:t xml:space="preserve">3) обязательства в соответствии с </w:t>
      </w:r>
      <w:hyperlink w:history="0" r:id="rId457" w:tooltip="Закон РФ от 27.11.1992 N 4015-1 (ред. от 09.04.2026)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w:t>
      </w:r>
      <w:hyperlink w:history="0" r:id="rId458" w:tooltip="Закон РФ от 27.11.1992 N 4015-1 (ред. от 09.04.2026)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долевого страхования жизни. Данные договоры страхования предполагают накопление средств к определенному договором страхования возрасту страхователя (застрахованного лица) или дожития им до установленного договором страхования срока, либо наступление иных установленных договором страхования событий в жизни страхователя (застрахованного лица), а в случае заключения договора долевого страхования жизни - также денежной компенсации в связи с погашением инвестиционных паев открытых паевых инвестиционных фондов или инвестиционных паев закрытых паевых инвестиционных фондов, заключаются на продолжительный период и в этой связи страховые выплаты по таким договорам рассматриваются, как правило, в качестве дохода лица-выгодоприобретателя по соответствующему договору, в отношении которого представляется </w:t>
      </w:r>
      <w:hyperlink w:history="0" r:id="rId45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справка</w:t>
        </w:r>
      </w:hyperlink>
      <w:r>
        <w:rPr>
          <w:sz w:val="20"/>
        </w:rPr>
        <w:t xml:space="preserve">.</w:t>
      </w:r>
    </w:p>
    <w:p>
      <w:pPr>
        <w:pStyle w:val="0"/>
        <w:spacing w:before="200" w:lineRule="auto"/>
        <w:ind w:firstLine="540"/>
        <w:jc w:val="both"/>
      </w:pPr>
      <w:r>
        <w:rPr>
          <w:sz w:val="20"/>
        </w:rPr>
        <w:t xml:space="preserve">Обязательства, возникающие исходя из условий договора страхования, по иным видам страхования (не поименованным в </w:t>
      </w:r>
      <w:hyperlink w:history="0" w:anchor="P828" w:tooltip="3) обязательства в соответствии с Законом Российской Федерации от 27 ноября 1992 г. N 4015-I &quot;Об организации страхового дела в Российской Федерации&quot;,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
        <w:r>
          <w:rPr>
            <w:sz w:val="20"/>
            <w:color w:val="0000ff"/>
          </w:rPr>
          <w:t xml:space="preserve">абзаце первом</w:t>
        </w:r>
      </w:hyperlink>
      <w:r>
        <w:rPr>
          <w:sz w:val="20"/>
        </w:rPr>
        <w:t xml:space="preserve"> рассматриваемого подпункта) не подлежат отражению в </w:t>
      </w:r>
      <w:hyperlink w:history="0" r:id="rId46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w:t>
      </w:r>
    </w:p>
    <w:p>
      <w:pPr>
        <w:pStyle w:val="0"/>
        <w:spacing w:before="200" w:lineRule="auto"/>
        <w:ind w:firstLine="540"/>
        <w:jc w:val="both"/>
      </w:pPr>
      <w:r>
        <w:rPr>
          <w:sz w:val="20"/>
        </w:rPr>
        <w:t xml:space="preserve">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также подлежит отражению в данном </w:t>
      </w:r>
      <w:hyperlink w:history="0" r:id="rId46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w:t>
        </w:r>
      </w:hyperlink>
      <w:r>
        <w:rPr>
          <w:sz w:val="20"/>
        </w:rPr>
        <w:t xml:space="preserve">.</w:t>
      </w:r>
    </w:p>
    <w:p>
      <w:pPr>
        <w:pStyle w:val="0"/>
        <w:spacing w:before="200" w:lineRule="auto"/>
        <w:ind w:firstLine="540"/>
        <w:jc w:val="both"/>
      </w:pPr>
      <w:hyperlink w:history="0" r:id="rId46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Справку</w:t>
        </w:r>
      </w:hyperlink>
      <w:r>
        <w:rPr>
          <w:sz w:val="20"/>
        </w:rPr>
        <w:t xml:space="preserve"> рекомендуется заполнять с учетом сведений, полученных от страховщика в рамках </w:t>
      </w:r>
      <w:hyperlink w:history="0" r:id="rId463"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Указания</w:t>
        </w:r>
      </w:hyperlink>
      <w:r>
        <w:rPr>
          <w:sz w:val="20"/>
        </w:rPr>
        <w:t xml:space="preserve"> Банка России N 5798-У. В отношении договоров инвестиционного страхования жизни рекомендуется также получать сведения у страховщика.</w:t>
      </w:r>
    </w:p>
    <w:p>
      <w:pPr>
        <w:pStyle w:val="0"/>
        <w:spacing w:before="200" w:lineRule="auto"/>
        <w:ind w:firstLine="540"/>
        <w:jc w:val="both"/>
      </w:pPr>
      <w:r>
        <w:rPr>
          <w:sz w:val="20"/>
        </w:rPr>
        <w:t xml:space="preserve">Также в </w:t>
      </w:r>
      <w:hyperlink w:history="0" r:id="rId464" w:tooltip="Указание Банка России от 27.05.2021 N 5798-У &quot;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quot; (Зарегистрировано в Минюсте России 30.06.2021 N 64039) {КонсультантПлюс}">
        <w:r>
          <w:rPr>
            <w:sz w:val="20"/>
            <w:color w:val="0000ff"/>
          </w:rPr>
          <w:t xml:space="preserve">Указании</w:t>
        </w:r>
      </w:hyperlink>
      <w:r>
        <w:rPr>
          <w:sz w:val="20"/>
        </w:rPr>
        <w:t xml:space="preserve"> Банка России N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w:t>
      </w:r>
      <w:hyperlink w:history="0" r:id="rId46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справки</w:t>
        </w:r>
      </w:hyperlink>
      <w:r>
        <w:rPr>
          <w:sz w:val="20"/>
        </w:rPr>
        <w:t xml:space="preserve"> требуется получать непосредственно от страховщика.</w:t>
      </w:r>
    </w:p>
    <w:p>
      <w:pPr>
        <w:pStyle w:val="0"/>
        <w:spacing w:before="200" w:lineRule="auto"/>
        <w:ind w:firstLine="540"/>
        <w:jc w:val="both"/>
      </w:pPr>
      <w:r>
        <w:rPr>
          <w:sz w:val="20"/>
        </w:rPr>
        <w:t xml:space="preserve">Обязательное пенсионное страхование и негосударственное пенсионное обеспечение не подпадает под регулирование </w:t>
      </w:r>
      <w:hyperlink w:history="0" r:id="rId466" w:tooltip="Закон РФ от 27.11.1992 N 4015-1 (ред. от 09.04.2026) &quot;Об организации страхового дела в Российской Федерации&quot; {КонсультантПлюс}">
        <w:r>
          <w:rPr>
            <w:sz w:val="20"/>
            <w:color w:val="0000ff"/>
          </w:rPr>
          <w:t xml:space="preserve">Законом</w:t>
        </w:r>
      </w:hyperlink>
      <w:r>
        <w:rPr>
          <w:sz w:val="20"/>
        </w:rPr>
        <w:t xml:space="preserve"> Российской Федерации от 27 ноября 1992 г. N 4015-I "Об организации страхового дела в Российской Федерации".</w:t>
      </w:r>
    </w:p>
    <w:bookmarkStart w:id="834" w:name="P834"/>
    <w:bookmarkEnd w:id="834"/>
    <w:p>
      <w:pPr>
        <w:pStyle w:val="0"/>
        <w:spacing w:before="200" w:lineRule="auto"/>
        <w:ind w:firstLine="540"/>
        <w:jc w:val="both"/>
      </w:pPr>
      <w:r>
        <w:rPr>
          <w:sz w:val="20"/>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w:t>
      </w:r>
    </w:p>
    <w:p>
      <w:pPr>
        <w:pStyle w:val="0"/>
        <w:spacing w:before="200" w:lineRule="auto"/>
        <w:ind w:firstLine="540"/>
        <w:jc w:val="both"/>
      </w:pPr>
      <w:r>
        <w:rPr>
          <w:sz w:val="20"/>
        </w:rPr>
        <w:t xml:space="preserve">В </w:t>
      </w:r>
      <w:hyperlink w:history="0" r:id="rId46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подразделе 6.2 раздела 6</w:t>
        </w:r>
      </w:hyperlink>
      <w:r>
        <w:rPr>
          <w:sz w:val="20"/>
        </w:rPr>
        <w:t xml:space="preserve">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jc w:val="both"/>
      </w:pPr>
      <w:r>
        <w:rPr>
          <w:sz w:val="20"/>
        </w:rPr>
      </w:r>
    </w:p>
    <w:p>
      <w:pPr>
        <w:pStyle w:val="2"/>
        <w:outlineLvl w:val="1"/>
        <w:jc w:val="center"/>
      </w:pPr>
      <w:hyperlink w:history="0" r:id="rId46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 7</w:t>
        </w:r>
      </w:hyperlink>
      <w:r>
        <w:rPr>
          <w:sz w:val="20"/>
        </w:rPr>
        <w:t xml:space="preserve">. СВЕДЕНИЯ О НЕДВИЖИМОМ ИМУЩЕСТВЕ, ТРАНСПОРТНЫХ</w:t>
      </w:r>
    </w:p>
    <w:p>
      <w:pPr>
        <w:pStyle w:val="2"/>
        <w:jc w:val="center"/>
      </w:pPr>
      <w:r>
        <w:rPr>
          <w:sz w:val="20"/>
        </w:rPr>
        <w:t xml:space="preserve">СРЕДСТВАХ, ЦЕННЫХ БУМАГАХ, ЦИФРОВЫХ ФИНАНСОВЫХ АКТИВАХ,</w:t>
      </w:r>
    </w:p>
    <w:p>
      <w:pPr>
        <w:pStyle w:val="2"/>
        <w:jc w:val="center"/>
      </w:pPr>
      <w:r>
        <w:rPr>
          <w:sz w:val="20"/>
        </w:rPr>
        <w:t xml:space="preserve">ЦИФРОВЫХ ПРАВАХ, ВКЛЮЧАЮЩИХ ОДНОВРЕМЕННО ЦИФРОВЫЕ ФИНАНСОВЫЕ</w:t>
      </w:r>
    </w:p>
    <w:p>
      <w:pPr>
        <w:pStyle w:val="2"/>
        <w:jc w:val="center"/>
      </w:pPr>
      <w:r>
        <w:rPr>
          <w:sz w:val="20"/>
        </w:rPr>
        <w:t xml:space="preserve">АКТИВЫ И ИНЫЕ ЦИФРОВЫЕ ПРАВА, ОБ УТИЛИТАРНЫХ ЦИФРОВЫХ ПРАВАХ</w:t>
      </w:r>
    </w:p>
    <w:p>
      <w:pPr>
        <w:pStyle w:val="2"/>
        <w:jc w:val="center"/>
      </w:pPr>
      <w:r>
        <w:rPr>
          <w:sz w:val="20"/>
        </w:rPr>
        <w:t xml:space="preserve">И ЦИФРОВОЙ ВАЛЮТЕ, ОТЧУЖДЕННЫХ В ТЕЧЕНИЕ ОТЧЕТНОГО ПЕРИОДА</w:t>
      </w:r>
    </w:p>
    <w:p>
      <w:pPr>
        <w:pStyle w:val="2"/>
        <w:jc w:val="center"/>
      </w:pPr>
      <w:r>
        <w:rPr>
          <w:sz w:val="20"/>
        </w:rPr>
        <w:t xml:space="preserve">В РЕЗУЛЬТАТЕ БЕЗВОЗМЕЗДНОЙ СДЕЛКИ</w:t>
      </w:r>
    </w:p>
    <w:p>
      <w:pPr>
        <w:pStyle w:val="0"/>
        <w:jc w:val="both"/>
      </w:pPr>
      <w:r>
        <w:rPr>
          <w:sz w:val="20"/>
        </w:rPr>
      </w:r>
    </w:p>
    <w:p>
      <w:pPr>
        <w:pStyle w:val="0"/>
        <w:ind w:firstLine="540"/>
        <w:jc w:val="both"/>
      </w:pPr>
      <w:r>
        <w:rPr>
          <w:sz w:val="20"/>
        </w:rPr>
        <w:t xml:space="preserve">218. В данном </w:t>
      </w:r>
      <w:hyperlink w:history="0" r:id="rId46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w:t>
      </w:r>
    </w:p>
    <w:p>
      <w:pPr>
        <w:pStyle w:val="0"/>
        <w:spacing w:before="200" w:lineRule="auto"/>
        <w:ind w:firstLine="540"/>
        <w:jc w:val="both"/>
      </w:pPr>
      <w:r>
        <w:rPr>
          <w:sz w:val="20"/>
        </w:rPr>
        <w:t xml:space="preserve">219. 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pPr>
        <w:pStyle w:val="0"/>
        <w:spacing w:before="200" w:lineRule="auto"/>
        <w:ind w:firstLine="540"/>
        <w:jc w:val="both"/>
      </w:pPr>
      <w:r>
        <w:rPr>
          <w:sz w:val="20"/>
        </w:rPr>
        <w:t xml:space="preserve">220. 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pPr>
        <w:pStyle w:val="0"/>
        <w:spacing w:before="200" w:lineRule="auto"/>
        <w:ind w:firstLine="540"/>
        <w:jc w:val="both"/>
      </w:pPr>
      <w:r>
        <w:rPr>
          <w:sz w:val="20"/>
        </w:rPr>
        <w:t xml:space="preserve">Также подлежит отражению в настоящем </w:t>
      </w:r>
      <w:hyperlink w:history="0" r:id="rId47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pPr>
        <w:pStyle w:val="0"/>
        <w:spacing w:before="200" w:lineRule="auto"/>
        <w:ind w:firstLine="540"/>
        <w:jc w:val="both"/>
      </w:pPr>
      <w:r>
        <w:rPr>
          <w:sz w:val="20"/>
        </w:rPr>
        <w:t xml:space="preserve">221. Уничтоженные объекты имущества не подлежат отражению в данном </w:t>
      </w:r>
      <w:hyperlink w:history="0" r:id="rId47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w:t>
      </w:r>
    </w:p>
    <w:p>
      <w:pPr>
        <w:pStyle w:val="0"/>
        <w:spacing w:before="200" w:lineRule="auto"/>
        <w:ind w:firstLine="540"/>
        <w:jc w:val="both"/>
      </w:pPr>
      <w:r>
        <w:rPr>
          <w:sz w:val="20"/>
        </w:rPr>
        <w:t xml:space="preserve">222. Договор мены не подлежит отражению в данном </w:t>
      </w:r>
      <w:hyperlink w:history="0" r:id="rId47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справки, так как он является возмездным.</w:t>
      </w:r>
    </w:p>
    <w:p>
      <w:pPr>
        <w:pStyle w:val="0"/>
        <w:spacing w:before="200" w:lineRule="auto"/>
        <w:ind w:firstLine="540"/>
        <w:jc w:val="both"/>
      </w:pPr>
      <w:r>
        <w:rPr>
          <w:sz w:val="20"/>
        </w:rPr>
        <w:t xml:space="preserve">223. Вопросы, связанные с "перераспределением долей", для определения необходимости отражения в данном </w:t>
      </w:r>
      <w:hyperlink w:history="0" r:id="rId47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разделе</w:t>
        </w:r>
      </w:hyperlink>
      <w:r>
        <w:rPr>
          <w:sz w:val="20"/>
        </w:rPr>
        <w:t xml:space="preserve"> требуют анализа правоустанавливающих документов, на основании которых осуществлено такое "перераспределение".</w:t>
      </w:r>
    </w:p>
    <w:p>
      <w:pPr>
        <w:pStyle w:val="0"/>
        <w:spacing w:before="200" w:lineRule="auto"/>
        <w:ind w:firstLine="540"/>
        <w:jc w:val="both"/>
      </w:pPr>
      <w:r>
        <w:rPr>
          <w:sz w:val="20"/>
        </w:rPr>
        <w:t xml:space="preserve">224. Каждый объект безвозмездной сделки указывается отдельно.</w:t>
      </w:r>
    </w:p>
    <w:p>
      <w:pPr>
        <w:pStyle w:val="0"/>
        <w:spacing w:before="200" w:lineRule="auto"/>
        <w:ind w:firstLine="540"/>
        <w:jc w:val="both"/>
      </w:pPr>
      <w:r>
        <w:rPr>
          <w:sz w:val="20"/>
        </w:rPr>
        <w:t xml:space="preserve">225. В строках </w:t>
      </w:r>
      <w:hyperlink w:history="0" r:id="rId47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"Земельные участки"</w:t>
        </w:r>
      </w:hyperlink>
      <w:r>
        <w:rPr>
          <w:sz w:val="20"/>
        </w:rPr>
        <w:t xml:space="preserve"> и </w:t>
      </w:r>
      <w:hyperlink w:history="0" r:id="rId475"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"Иное недвижимое имущество"</w:t>
        </w:r>
      </w:hyperlink>
      <w:r>
        <w:rPr>
          <w:sz w:val="20"/>
        </w:rPr>
        <w:t xml:space="preserve"> рекомендуется указывать вид недвижимого имущества (в отношении земельных участков следует руководствоваться </w:t>
      </w:r>
      <w:hyperlink w:history="0" w:anchor="P483" w:tooltip="111. 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
        <w:r>
          <w:rPr>
            <w:sz w:val="20"/>
            <w:color w:val="0000ff"/>
          </w:rPr>
          <w:t xml:space="preserve">пунктом 111</w:t>
        </w:r>
      </w:hyperlink>
      <w:r>
        <w:rPr>
          <w:sz w:val="20"/>
        </w:rPr>
        <w:t xml:space="preserve"> настоящих Методических рекомендаций), местонахождение (адрес) в соответствии с </w:t>
      </w:r>
      <w:hyperlink w:history="0" w:anchor="P497" w:tooltip="119. Местонахождение (адрес) недвижимого имущества указывается согласно правоустанавливающим документам. При этом указывается:">
        <w:r>
          <w:rPr>
            <w:sz w:val="20"/>
            <w:color w:val="0000ff"/>
          </w:rPr>
          <w:t xml:space="preserve">пунктами 119</w:t>
        </w:r>
      </w:hyperlink>
      <w:r>
        <w:rPr>
          <w:sz w:val="20"/>
        </w:rPr>
        <w:t xml:space="preserve"> и </w:t>
      </w:r>
      <w:hyperlink w:history="0" w:anchor="P504" w:tooltip="120. Если недвижимое имущество находится за рубежом, то указывается:">
        <w:r>
          <w:rPr>
            <w:sz w:val="20"/>
            <w:color w:val="0000ff"/>
          </w:rPr>
          <w:t xml:space="preserve">120</w:t>
        </w:r>
      </w:hyperlink>
      <w:r>
        <w:rPr>
          <w:sz w:val="20"/>
        </w:rPr>
        <w:t xml:space="preserve"> настоящих Методических рекомендаций, площадь (кв. м) в соответствии с </w:t>
      </w:r>
      <w:hyperlink w:history="0" w:anchor="P510" w:tooltip="121. 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
        <w:r>
          <w:rPr>
            <w:sz w:val="20"/>
            <w:color w:val="0000ff"/>
          </w:rPr>
          <w:t xml:space="preserve">пунктом 121</w:t>
        </w:r>
      </w:hyperlink>
      <w:r>
        <w:rPr>
          <w:sz w:val="20"/>
        </w:rPr>
        <w:t xml:space="preserve"> настоящих Методических рекомендаций.</w:t>
      </w:r>
    </w:p>
    <w:p>
      <w:pPr>
        <w:pStyle w:val="0"/>
        <w:spacing w:before="200" w:lineRule="auto"/>
        <w:ind w:firstLine="540"/>
        <w:jc w:val="both"/>
      </w:pPr>
      <w:r>
        <w:rPr>
          <w:sz w:val="20"/>
        </w:rPr>
        <w:t xml:space="preserve">226. В </w:t>
      </w:r>
      <w:hyperlink w:history="0" r:id="rId476"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"Транспортные средства" рекомендуется указывать вид, марку, модель транспортного средства, год изготовления, место регистрации.</w:t>
      </w:r>
    </w:p>
    <w:p>
      <w:pPr>
        <w:pStyle w:val="0"/>
        <w:spacing w:before="200" w:lineRule="auto"/>
        <w:ind w:firstLine="540"/>
        <w:jc w:val="both"/>
      </w:pPr>
      <w:r>
        <w:rPr>
          <w:sz w:val="20"/>
        </w:rPr>
        <w:t xml:space="preserve">227. В </w:t>
      </w:r>
      <w:hyperlink w:history="0" r:id="rId477"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w:t>
      </w:r>
      <w:hyperlink w:history="0" w:anchor="P267" w:tooltip="56. 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quot;Интернет&quot; (например, информации с официального ...">
        <w:r>
          <w:rPr>
            <w:sz w:val="20"/>
            <w:color w:val="0000ff"/>
          </w:rPr>
          <w:t xml:space="preserve">пункта 56</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hyperlink w:history="0" w:anchor="P728" w:tooltip="184. В графе &quot;Наименование и организационно-правовая форма организации&quo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
        <w:r>
          <w:rPr>
            <w:sz w:val="20"/>
            <w:color w:val="0000ff"/>
          </w:rPr>
          <w:t xml:space="preserve">пунктом 184</w:t>
        </w:r>
      </w:hyperlink>
      <w:r>
        <w:rPr>
          <w:sz w:val="20"/>
        </w:rPr>
        <w:t xml:space="preserve"> настоящих Методических рекомендаций, местонахождение организации (адрес) в соответствии с </w:t>
      </w:r>
      <w:hyperlink w:history="0" w:anchor="P730" w:tooltip="185. В графе &quot;Местонахождение организации (адрес)&quot;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
        <w:r>
          <w:rPr>
            <w:sz w:val="20"/>
            <w:color w:val="0000ff"/>
          </w:rPr>
          <w:t xml:space="preserve">пунктом 185</w:t>
        </w:r>
      </w:hyperlink>
      <w:r>
        <w:rPr>
          <w:sz w:val="20"/>
        </w:rPr>
        <w:t xml:space="preserve"> настоящих Методических рекомендаций, уставный капитал в соответствии с </w:t>
      </w:r>
      <w:hyperlink w:history="0" w:anchor="P731" w:tooltip="186.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пункта 56 настоящих Методических рекомендаций).">
        <w:r>
          <w:rPr>
            <w:sz w:val="20"/>
            <w:color w:val="0000ff"/>
          </w:rPr>
          <w:t xml:space="preserve">пунктом 186</w:t>
        </w:r>
      </w:hyperlink>
      <w:r>
        <w:rPr>
          <w:sz w:val="20"/>
        </w:rPr>
        <w:t xml:space="preserve"> настоящих Методических рекомендаций, доли участия в соответствии с </w:t>
      </w:r>
      <w:hyperlink w:history="0" w:anchor="P734" w:tooltip="187. Доля участия выражается в процентах от уставного капитала. Для акционерных обществ указываются также номинальная стоимость и количество акций.">
        <w:r>
          <w:rPr>
            <w:sz w:val="20"/>
            <w:color w:val="0000ff"/>
          </w:rPr>
          <w:t xml:space="preserve">пунктом 187</w:t>
        </w:r>
      </w:hyperlink>
      <w:r>
        <w:rPr>
          <w:sz w:val="20"/>
        </w:rPr>
        <w:t xml:space="preserve"> настоящих Методических рекомендаций.</w:t>
      </w:r>
    </w:p>
    <w:p>
      <w:pPr>
        <w:pStyle w:val="0"/>
        <w:spacing w:before="200" w:lineRule="auto"/>
        <w:ind w:firstLine="540"/>
        <w:jc w:val="both"/>
      </w:pPr>
      <w:r>
        <w:rPr>
          <w:sz w:val="20"/>
        </w:rPr>
        <w:t xml:space="preserve">228. В </w:t>
      </w:r>
      <w:hyperlink w:history="0" r:id="rId478"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pPr>
        <w:pStyle w:val="0"/>
        <w:spacing w:before="200" w:lineRule="auto"/>
        <w:ind w:firstLine="540"/>
        <w:jc w:val="both"/>
      </w:pPr>
      <w:r>
        <w:rPr>
          <w:sz w:val="20"/>
        </w:rPr>
        <w:t xml:space="preserve">229. В </w:t>
      </w:r>
      <w:hyperlink w:history="0" r:id="rId479"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pPr>
        <w:pStyle w:val="0"/>
        <w:spacing w:before="200" w:lineRule="auto"/>
        <w:ind w:firstLine="540"/>
        <w:jc w:val="both"/>
      </w:pPr>
      <w:r>
        <w:rPr>
          <w:sz w:val="20"/>
        </w:rPr>
        <w:t xml:space="preserve">230. В </w:t>
      </w:r>
      <w:hyperlink w:history="0" r:id="rId480"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"Утилитарные цифровые права" рекомендуется указывать уникальное условное обозначение, идентифицирующее утилитарное цифровое право.</w:t>
      </w:r>
    </w:p>
    <w:p>
      <w:pPr>
        <w:pStyle w:val="0"/>
        <w:spacing w:before="200" w:lineRule="auto"/>
        <w:ind w:firstLine="540"/>
        <w:jc w:val="both"/>
      </w:pPr>
      <w:r>
        <w:rPr>
          <w:sz w:val="20"/>
        </w:rPr>
        <w:t xml:space="preserve">231. В </w:t>
      </w:r>
      <w:hyperlink w:history="0" r:id="rId481"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строке</w:t>
        </w:r>
      </w:hyperlink>
      <w:r>
        <w:rPr>
          <w:sz w:val="20"/>
        </w:rPr>
        <w:t xml:space="preserve"> "Цифровая валюта" указывается наименование цифровой валюты в соответствии с применимыми документами (без произвольной транслитерации).</w:t>
      </w:r>
    </w:p>
    <w:p>
      <w:pPr>
        <w:pStyle w:val="0"/>
        <w:spacing w:before="200" w:lineRule="auto"/>
        <w:ind w:firstLine="540"/>
        <w:jc w:val="both"/>
      </w:pPr>
      <w:r>
        <w:rPr>
          <w:sz w:val="20"/>
        </w:rPr>
        <w:t xml:space="preserve">232. В </w:t>
      </w:r>
      <w:hyperlink w:history="0" r:id="rId482"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pPr>
        <w:pStyle w:val="0"/>
        <w:spacing w:before="200" w:lineRule="auto"/>
        <w:ind w:firstLine="540"/>
        <w:jc w:val="both"/>
      </w:pPr>
      <w:r>
        <w:rPr>
          <w:sz w:val="20"/>
        </w:rPr>
        <w:t xml:space="preserve">В случае безвозмездной сделки с юридическим лицом в данной </w:t>
      </w:r>
      <w:hyperlink w:history="0" r:id="rId483"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указываются наименование, идентификационный номер налогоплательщика и основной государственный регистрационный номер юридического лица.</w:t>
      </w:r>
    </w:p>
    <w:p>
      <w:pPr>
        <w:pStyle w:val="0"/>
        <w:spacing w:before="200" w:lineRule="auto"/>
        <w:ind w:firstLine="540"/>
        <w:jc w:val="both"/>
      </w:pPr>
      <w:r>
        <w:rPr>
          <w:sz w:val="20"/>
        </w:rPr>
        <w:t xml:space="preserve">233. В </w:t>
      </w:r>
      <w:hyperlink w:history="0" r:id="rId484" w:tooltip="Указ Президента РФ от 23.06.2014 N 460 (ред. от 31.12.2025)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графе</w:t>
        </w:r>
      </w:hyperlink>
      <w:r>
        <w:rPr>
          <w:sz w:val="20"/>
        </w:rPr>
        <w:t xml:space="preserve">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вопросам представления сведений о доходах, расходах, об имуществе и обязательствах имущест...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937&amp;dst=100235" TargetMode = "External"/><Relationship Id="rId9" Type="http://schemas.openxmlformats.org/officeDocument/2006/relationships/hyperlink" Target="https://login.consultant.ru/link/?req=doc&amp;base=LAW&amp;n=523933&amp;dst=100109" TargetMode = "External"/><Relationship Id="rId10" Type="http://schemas.openxmlformats.org/officeDocument/2006/relationships/hyperlink" Target="https://login.consultant.ru/link/?req=doc&amp;base=LAW&amp;n=523933&amp;dst=100154" TargetMode = "External"/><Relationship Id="rId11" Type="http://schemas.openxmlformats.org/officeDocument/2006/relationships/hyperlink" Target="https://login.consultant.ru/link/?req=doc&amp;base=LAW&amp;n=523306" TargetMode = "External"/><Relationship Id="rId12" Type="http://schemas.openxmlformats.org/officeDocument/2006/relationships/hyperlink" Target="https://login.consultant.ru/link/?req=doc&amp;base=LAW&amp;n=523948&amp;dst=100045" TargetMode = "External"/><Relationship Id="rId13" Type="http://schemas.openxmlformats.org/officeDocument/2006/relationships/hyperlink" Target="https://login.consultant.ru/link/?req=doc&amp;base=LAW&amp;n=523306" TargetMode = "External"/><Relationship Id="rId14" Type="http://schemas.openxmlformats.org/officeDocument/2006/relationships/hyperlink" Target="https://login.consultant.ru/link/?req=doc&amp;base=LAW&amp;n=523305" TargetMode = "External"/><Relationship Id="rId15" Type="http://schemas.openxmlformats.org/officeDocument/2006/relationships/hyperlink" Target="https://login.consultant.ru/link/?req=doc&amp;base=LAW&amp;n=523948&amp;dst=100045" TargetMode = "External"/><Relationship Id="rId16" Type="http://schemas.openxmlformats.org/officeDocument/2006/relationships/hyperlink" Target="https://login.consultant.ru/link/?req=doc&amp;base=LAW&amp;n=523924" TargetMode = "External"/><Relationship Id="rId17" Type="http://schemas.openxmlformats.org/officeDocument/2006/relationships/hyperlink" Target="https://login.consultant.ru/link/?req=doc&amp;base=LAW&amp;n=523924&amp;dst=100187" TargetMode = "External"/><Relationship Id="rId18" Type="http://schemas.openxmlformats.org/officeDocument/2006/relationships/hyperlink" Target="https://login.consultant.ru/link/?req=doc&amp;base=LAW&amp;n=470822" TargetMode = "External"/><Relationship Id="rId19" Type="http://schemas.openxmlformats.org/officeDocument/2006/relationships/hyperlink" Target="https://login.consultant.ru/link/?req=doc&amp;base=LAW&amp;n=523948&amp;dst=100045" TargetMode = "External"/><Relationship Id="rId20" Type="http://schemas.openxmlformats.org/officeDocument/2006/relationships/hyperlink" Target="https://login.consultant.ru/link/?req=doc&amp;base=LAW&amp;n=520099" TargetMode = "External"/><Relationship Id="rId21" Type="http://schemas.openxmlformats.org/officeDocument/2006/relationships/hyperlink" Target="https://login.consultant.ru/link/?req=doc&amp;base=LAW&amp;n=520103" TargetMode = "External"/><Relationship Id="rId22" Type="http://schemas.openxmlformats.org/officeDocument/2006/relationships/hyperlink" Target="https://login.consultant.ru/link/?req=doc&amp;base=LAW&amp;n=520102" TargetMode = "External"/><Relationship Id="rId23" Type="http://schemas.openxmlformats.org/officeDocument/2006/relationships/hyperlink" Target="https://login.consultant.ru/link/?req=doc&amp;base=LAW&amp;n=520100" TargetMode = "External"/><Relationship Id="rId24" Type="http://schemas.openxmlformats.org/officeDocument/2006/relationships/hyperlink" Target="https://login.consultant.ru/link/?req=doc&amp;base=LAW&amp;n=523532" TargetMode = "External"/><Relationship Id="rId25" Type="http://schemas.openxmlformats.org/officeDocument/2006/relationships/hyperlink" Target="https://login.consultant.ru/link/?req=doc&amp;base=LAW&amp;n=443002&amp;dst=100011" TargetMode = "External"/><Relationship Id="rId26" Type="http://schemas.openxmlformats.org/officeDocument/2006/relationships/hyperlink" Target="https://mintrud.gov.ru/ministry/programms/anticorruption/9/23" TargetMode = "External"/><Relationship Id="rId27" Type="http://schemas.openxmlformats.org/officeDocument/2006/relationships/hyperlink" Target="https://login.consultant.ru/link/?req=doc&amp;base=LAW&amp;n=443002&amp;dst=100011" TargetMode = "External"/><Relationship Id="rId28" Type="http://schemas.openxmlformats.org/officeDocument/2006/relationships/hyperlink" Target="https://mintrud.gov.ru/ministry/programms/anticorruption/9/23" TargetMode = "External"/><Relationship Id="rId29" Type="http://schemas.openxmlformats.org/officeDocument/2006/relationships/hyperlink" Target="https://login.consultant.ru/link/?req=doc&amp;base=LAW&amp;n=518293&amp;dst=1187" TargetMode = "External"/><Relationship Id="rId30" Type="http://schemas.openxmlformats.org/officeDocument/2006/relationships/hyperlink" Target="https://login.consultant.ru/link/?req=doc&amp;base=LAW&amp;n=518293&amp;dst=1187" TargetMode = "External"/><Relationship Id="rId31" Type="http://schemas.openxmlformats.org/officeDocument/2006/relationships/hyperlink" Target="https://login.consultant.ru/link/?req=doc&amp;base=LAW&amp;n=523305" TargetMode = "External"/><Relationship Id="rId32" Type="http://schemas.openxmlformats.org/officeDocument/2006/relationships/hyperlink" Target="https://login.consultant.ru/link/?req=doc&amp;base=LAW&amp;n=535002&amp;dst=54" TargetMode = "External"/><Relationship Id="rId33" Type="http://schemas.openxmlformats.org/officeDocument/2006/relationships/hyperlink" Target="https://login.consultant.ru/link/?req=doc&amp;base=LAW&amp;n=531468&amp;dst=100198" TargetMode = "External"/><Relationship Id="rId34" Type="http://schemas.openxmlformats.org/officeDocument/2006/relationships/hyperlink" Target="https://login.consultant.ru/link/?req=doc&amp;base=LAW&amp;n=531468&amp;dst=100260" TargetMode = "External"/><Relationship Id="rId35" Type="http://schemas.openxmlformats.org/officeDocument/2006/relationships/hyperlink" Target="https://login.consultant.ru/link/?req=doc&amp;base=LAW&amp;n=531468&amp;dst=100219" TargetMode = "External"/><Relationship Id="rId36" Type="http://schemas.openxmlformats.org/officeDocument/2006/relationships/hyperlink" Target="https://login.consultant.ru/link/?req=doc&amp;base=LAW&amp;n=523948&amp;dst=100045" TargetMode = "External"/><Relationship Id="rId37" Type="http://schemas.openxmlformats.org/officeDocument/2006/relationships/hyperlink" Target="https://login.consultant.ru/link/?req=doc&amp;base=LAW&amp;n=523948&amp;dst=100045" TargetMode = "External"/><Relationship Id="rId38" Type="http://schemas.openxmlformats.org/officeDocument/2006/relationships/hyperlink" Target="https://login.consultant.ru/link/?req=doc&amp;base=LAW&amp;n=523948&amp;dst=100045" TargetMode = "External"/><Relationship Id="rId39" Type="http://schemas.openxmlformats.org/officeDocument/2006/relationships/hyperlink" Target="https://login.consultant.ru/link/?req=doc&amp;base=LAW&amp;n=523948&amp;dst=100045" TargetMode = "External"/><Relationship Id="rId40" Type="http://schemas.openxmlformats.org/officeDocument/2006/relationships/hyperlink" Target="https://login.consultant.ru/link/?req=doc&amp;base=LAW&amp;n=523948&amp;dst=100045" TargetMode = "External"/><Relationship Id="rId41" Type="http://schemas.openxmlformats.org/officeDocument/2006/relationships/hyperlink" Target="https://login.consultant.ru/link/?req=doc&amp;base=LAW&amp;n=523948&amp;dst=100045" TargetMode = "External"/><Relationship Id="rId42" Type="http://schemas.openxmlformats.org/officeDocument/2006/relationships/hyperlink" Target="https://login.consultant.ru/link/?req=doc&amp;base=LAW&amp;n=523948&amp;dst=100045" TargetMode = "External"/><Relationship Id="rId43" Type="http://schemas.openxmlformats.org/officeDocument/2006/relationships/hyperlink" Target="https://login.consultant.ru/link/?req=doc&amp;base=LAW&amp;n=523948&amp;dst=100045" TargetMode = "External"/><Relationship Id="rId44" Type="http://schemas.openxmlformats.org/officeDocument/2006/relationships/hyperlink" Target="https://login.consultant.ru/link/?req=doc&amp;base=LAW&amp;n=523948&amp;dst=100045" TargetMode = "External"/><Relationship Id="rId45" Type="http://schemas.openxmlformats.org/officeDocument/2006/relationships/hyperlink" Target="https://login.consultant.ru/link/?req=doc&amp;base=LAW&amp;n=523948&amp;dst=100045" TargetMode = "External"/><Relationship Id="rId46" Type="http://schemas.openxmlformats.org/officeDocument/2006/relationships/hyperlink" Target="https://login.consultant.ru/link/?req=doc&amp;base=LAW&amp;n=523570&amp;dst=100129" TargetMode = "External"/><Relationship Id="rId47" Type="http://schemas.openxmlformats.org/officeDocument/2006/relationships/hyperlink" Target="https://login.consultant.ru/link/?req=doc&amp;base=LAW&amp;n=523948&amp;dst=100045" TargetMode = "External"/><Relationship Id="rId48" Type="http://schemas.openxmlformats.org/officeDocument/2006/relationships/hyperlink" Target="https://login.consultant.ru/link/?req=doc&amp;base=LAW&amp;n=523948&amp;dst=100045" TargetMode = "External"/><Relationship Id="rId49" Type="http://schemas.openxmlformats.org/officeDocument/2006/relationships/hyperlink" Target="https://login.consultant.ru/link/?req=doc&amp;base=LAW&amp;n=529656&amp;dst=100043" TargetMode = "External"/><Relationship Id="rId50" Type="http://schemas.openxmlformats.org/officeDocument/2006/relationships/hyperlink" Target="https://login.consultant.ru/link/?req=doc&amp;base=LAW&amp;n=529656&amp;dst=100105" TargetMode = "External"/><Relationship Id="rId51" Type="http://schemas.openxmlformats.org/officeDocument/2006/relationships/hyperlink" Target="https://login.consultant.ru/link/?req=doc&amp;base=LAW&amp;n=529656&amp;dst=100043" TargetMode = "External"/><Relationship Id="rId52" Type="http://schemas.openxmlformats.org/officeDocument/2006/relationships/hyperlink" Target="https://login.consultant.ru/link/?req=doc&amp;base=LAW&amp;n=529656&amp;dst=100105" TargetMode = "External"/><Relationship Id="rId53" Type="http://schemas.openxmlformats.org/officeDocument/2006/relationships/hyperlink" Target="https://login.consultant.ru/link/?req=doc&amp;base=LAW&amp;n=443002&amp;dst=100011" TargetMode = "External"/><Relationship Id="rId54" Type="http://schemas.openxmlformats.org/officeDocument/2006/relationships/hyperlink" Target="https://mintrud.gov.ru/ministry/programms/anticorruption/9/23" TargetMode = "External"/><Relationship Id="rId55" Type="http://schemas.openxmlformats.org/officeDocument/2006/relationships/hyperlink" Target="https://login.consultant.ru/link/?req=doc&amp;base=LAW&amp;n=2875&amp;dst=100222" TargetMode = "External"/><Relationship Id="rId56" Type="http://schemas.openxmlformats.org/officeDocument/2006/relationships/hyperlink" Target="https://login.consultant.ru/link/?req=doc&amp;base=LAW&amp;n=523948&amp;dst=100045" TargetMode = "External"/><Relationship Id="rId57" Type="http://schemas.openxmlformats.org/officeDocument/2006/relationships/hyperlink" Target="https://login.consultant.ru/link/?req=doc&amp;base=LAW&amp;n=468064&amp;dst=100172" TargetMode = "External"/><Relationship Id="rId58" Type="http://schemas.openxmlformats.org/officeDocument/2006/relationships/hyperlink" Target="https://login.consultant.ru/link/?req=doc&amp;base=LAW&amp;n=509567&amp;dst=100086" TargetMode = "External"/><Relationship Id="rId59" Type="http://schemas.openxmlformats.org/officeDocument/2006/relationships/hyperlink" Target="https://login.consultant.ru/link/?req=doc&amp;base=LAW&amp;n=523926&amp;dst=100132" TargetMode = "External"/><Relationship Id="rId60" Type="http://schemas.openxmlformats.org/officeDocument/2006/relationships/hyperlink" Target="https://login.consultant.ru/link/?req=doc&amp;base=LAW&amp;n=523922&amp;dst=100062" TargetMode = "External"/><Relationship Id="rId61" Type="http://schemas.openxmlformats.org/officeDocument/2006/relationships/hyperlink" Target="https://login.consultant.ru/link/?req=doc&amp;base=LAW&amp;n=451999" TargetMode = "External"/><Relationship Id="rId62" Type="http://schemas.openxmlformats.org/officeDocument/2006/relationships/hyperlink" Target="https://mintrud.gov.ru/ministry/programms/anticorruption/9/24" TargetMode = "External"/><Relationship Id="rId63" Type="http://schemas.openxmlformats.org/officeDocument/2006/relationships/hyperlink" Target="https://login.consultant.ru/link/?req=doc&amp;base=LAW&amp;n=523306&amp;dst=337" TargetMode = "External"/><Relationship Id="rId64" Type="http://schemas.openxmlformats.org/officeDocument/2006/relationships/hyperlink" Target="https://login.consultant.ru/link/?req=doc&amp;base=LAW&amp;n=523948&amp;dst=100045" TargetMode = "External"/><Relationship Id="rId65" Type="http://schemas.openxmlformats.org/officeDocument/2006/relationships/hyperlink" Target="https://login.consultant.ru/link/?req=doc&amp;base=LAW&amp;n=523948&amp;dst=100045" TargetMode = "External"/><Relationship Id="rId66" Type="http://schemas.openxmlformats.org/officeDocument/2006/relationships/hyperlink" Target="https://login.consultant.ru/link/?req=doc&amp;base=LAW&amp;n=523948&amp;dst=100045" TargetMode = "External"/><Relationship Id="rId67" Type="http://schemas.openxmlformats.org/officeDocument/2006/relationships/hyperlink" Target="https://login.consultant.ru/link/?req=doc&amp;base=LAW&amp;n=389806&amp;dst=100029" TargetMode = "External"/><Relationship Id="rId68" Type="http://schemas.openxmlformats.org/officeDocument/2006/relationships/hyperlink" Target="https://login.consultant.ru/link/?req=doc&amp;base=LAW&amp;n=523948&amp;dst=100045" TargetMode = "External"/><Relationship Id="rId69" Type="http://schemas.openxmlformats.org/officeDocument/2006/relationships/hyperlink" Target="https://login.consultant.ru/link/?req=doc&amp;base=LAW&amp;n=523948&amp;dst=100045" TargetMode = "External"/><Relationship Id="rId70" Type="http://schemas.openxmlformats.org/officeDocument/2006/relationships/hyperlink" Target="https://login.consultant.ru/link/?req=doc&amp;base=LAW&amp;n=523948&amp;dst=33" TargetMode = "External"/><Relationship Id="rId71" Type="http://schemas.openxmlformats.org/officeDocument/2006/relationships/hyperlink" Target="https://login.consultant.ru/link/?req=doc&amp;base=LAW&amp;n=523948&amp;dst=100045" TargetMode = "External"/><Relationship Id="rId72" Type="http://schemas.openxmlformats.org/officeDocument/2006/relationships/hyperlink" Target="https://login.consultant.ru/link/?req=doc&amp;base=LAW&amp;n=523948&amp;dst=100045" TargetMode = "External"/><Relationship Id="rId73" Type="http://schemas.openxmlformats.org/officeDocument/2006/relationships/hyperlink" Target="https://login.consultant.ru/link/?req=doc&amp;base=LAW&amp;n=523948&amp;dst=100045" TargetMode = "External"/><Relationship Id="rId74" Type="http://schemas.openxmlformats.org/officeDocument/2006/relationships/hyperlink" Target="https://login.consultant.ru/link/?req=doc&amp;base=LAW&amp;n=523948&amp;dst=7" TargetMode = "External"/><Relationship Id="rId75" Type="http://schemas.openxmlformats.org/officeDocument/2006/relationships/hyperlink" Target="https://lkfl2.nalog.ru/lkfl" TargetMode = "External"/><Relationship Id="rId76" Type="http://schemas.openxmlformats.org/officeDocument/2006/relationships/hyperlink" Target="https://lkfl2.nalog.ru/lkfl" TargetMode = "External"/><Relationship Id="rId77" Type="http://schemas.openxmlformats.org/officeDocument/2006/relationships/hyperlink" Target="https://sfr.gov.ru/" TargetMode = "External"/><Relationship Id="rId78" Type="http://schemas.openxmlformats.org/officeDocument/2006/relationships/hyperlink" Target="https://login.consultant.ru/link/?req=doc&amp;base=LAW&amp;n=523948&amp;dst=25" TargetMode = "External"/><Relationship Id="rId79" Type="http://schemas.openxmlformats.org/officeDocument/2006/relationships/hyperlink" Target="https://login.consultant.ru/link/?req=doc&amp;base=LAW&amp;n=523948&amp;dst=100105" TargetMode = "External"/><Relationship Id="rId80" Type="http://schemas.openxmlformats.org/officeDocument/2006/relationships/hyperlink" Target="https://lkfl2.nalog.ru/lkfl" TargetMode = "External"/><Relationship Id="rId81" Type="http://schemas.openxmlformats.org/officeDocument/2006/relationships/hyperlink" Target="https://login.consultant.ru/link/?req=doc&amp;base=LAW&amp;n=523948&amp;dst=100138" TargetMode = "External"/><Relationship Id="rId82" Type="http://schemas.openxmlformats.org/officeDocument/2006/relationships/hyperlink" Target="https://lkfl2.nalog.ru/lkfl" TargetMode = "External"/><Relationship Id="rId83" Type="http://schemas.openxmlformats.org/officeDocument/2006/relationships/hyperlink" Target="https://login.consultant.ru/link/?req=doc&amp;base=LAW&amp;n=523948&amp;dst=100175" TargetMode = "External"/><Relationship Id="rId84" Type="http://schemas.openxmlformats.org/officeDocument/2006/relationships/hyperlink" Target="https://lkfl2.nalog.ru/lkfl" TargetMode = "External"/><Relationship Id="rId85" Type="http://schemas.openxmlformats.org/officeDocument/2006/relationships/hyperlink" Target="https://login.consultant.ru/link/?req=doc&amp;base=LAW&amp;n=389806" TargetMode = "External"/><Relationship Id="rId86" Type="http://schemas.openxmlformats.org/officeDocument/2006/relationships/hyperlink" Target="https://login.consultant.ru/link/?req=doc&amp;base=LAW&amp;n=523948&amp;dst=100191" TargetMode = "External"/><Relationship Id="rId87" Type="http://schemas.openxmlformats.org/officeDocument/2006/relationships/hyperlink" Target="https://login.consultant.ru/link/?req=doc&amp;base=LAW&amp;n=523948&amp;dst=100231" TargetMode = "External"/><Relationship Id="rId88" Type="http://schemas.openxmlformats.org/officeDocument/2006/relationships/hyperlink" Target="https://login.consultant.ru/link/?req=doc&amp;base=LAW&amp;n=523948&amp;dst=100247" TargetMode = "External"/><Relationship Id="rId89" Type="http://schemas.openxmlformats.org/officeDocument/2006/relationships/hyperlink" Target="https://login.consultant.ru/link/?req=doc&amp;base=LAW&amp;n=389806" TargetMode = "External"/><Relationship Id="rId90" Type="http://schemas.openxmlformats.org/officeDocument/2006/relationships/hyperlink" Target="https://www.gosuslugi.ru/" TargetMode = "External"/><Relationship Id="rId91" Type="http://schemas.openxmlformats.org/officeDocument/2006/relationships/hyperlink" Target="https://login.consultant.ru/link/?req=doc&amp;base=LAW&amp;n=523948&amp;dst=100045" TargetMode = "External"/><Relationship Id="rId92" Type="http://schemas.openxmlformats.org/officeDocument/2006/relationships/hyperlink" Target="https://login.consultant.ru/link/?req=doc&amp;base=LAW&amp;n=523948&amp;dst=100045" TargetMode = "External"/><Relationship Id="rId93" Type="http://schemas.openxmlformats.org/officeDocument/2006/relationships/hyperlink" Target="https://login.consultant.ru/link/?req=doc&amp;base=LAW&amp;n=523948&amp;dst=100045" TargetMode = "External"/><Relationship Id="rId94" Type="http://schemas.openxmlformats.org/officeDocument/2006/relationships/hyperlink" Target="http://www.kremlin.ru/structure/additional/12" TargetMode = "External"/><Relationship Id="rId95" Type="http://schemas.openxmlformats.org/officeDocument/2006/relationships/hyperlink" Target="https://gossluzhba.gov.ru/anticorruption/spravki_bk" TargetMode = "External"/><Relationship Id="rId96" Type="http://schemas.openxmlformats.org/officeDocument/2006/relationships/hyperlink" Target="https://login.consultant.ru/link/?req=doc&amp;base=LAW&amp;n=523948&amp;dst=100045" TargetMode = "External"/><Relationship Id="rId97" Type="http://schemas.openxmlformats.org/officeDocument/2006/relationships/hyperlink" Target="https://login.consultant.ru/link/?req=doc&amp;base=LAW&amp;n=523948&amp;dst=100045" TargetMode = "External"/><Relationship Id="rId98" Type="http://schemas.openxmlformats.org/officeDocument/2006/relationships/hyperlink" Target="https://login.consultant.ru/link/?req=doc&amp;base=LAW&amp;n=523948&amp;dst=100045" TargetMode = "External"/><Relationship Id="rId99" Type="http://schemas.openxmlformats.org/officeDocument/2006/relationships/hyperlink" Target="https://login.consultant.ru/link/?req=doc&amp;base=LAW&amp;n=523948&amp;dst=100045" TargetMode = "External"/><Relationship Id="rId100" Type="http://schemas.openxmlformats.org/officeDocument/2006/relationships/hyperlink" Target="https://login.consultant.ru/link/?req=doc&amp;base=LAW&amp;n=523948&amp;dst=100045" TargetMode = "External"/><Relationship Id="rId101" Type="http://schemas.openxmlformats.org/officeDocument/2006/relationships/hyperlink" Target="https://login.consultant.ru/link/?req=doc&amp;base=LAW&amp;n=523948&amp;dst=100045" TargetMode = "External"/><Relationship Id="rId102" Type="http://schemas.openxmlformats.org/officeDocument/2006/relationships/hyperlink" Target="https://login.consultant.ru/link/?req=doc&amp;base=LAW&amp;n=523948&amp;dst=100045" TargetMode = "External"/><Relationship Id="rId103" Type="http://schemas.openxmlformats.org/officeDocument/2006/relationships/hyperlink" Target="https://login.consultant.ru/link/?req=doc&amp;base=LAW&amp;n=523948&amp;dst=100045" TargetMode = "External"/><Relationship Id="rId104" Type="http://schemas.openxmlformats.org/officeDocument/2006/relationships/hyperlink" Target="https://login.consultant.ru/link/?req=doc&amp;base=LAW&amp;n=523948&amp;dst=100045" TargetMode = "External"/><Relationship Id="rId105" Type="http://schemas.openxmlformats.org/officeDocument/2006/relationships/hyperlink" Target="https://login.consultant.ru/link/?req=doc&amp;base=LAW&amp;n=523948&amp;dst=100045" TargetMode = "External"/><Relationship Id="rId106" Type="http://schemas.openxmlformats.org/officeDocument/2006/relationships/hyperlink" Target="https://login.consultant.ru/link/?req=doc&amp;base=LAW&amp;n=523948&amp;dst=100045" TargetMode = "External"/><Relationship Id="rId107" Type="http://schemas.openxmlformats.org/officeDocument/2006/relationships/hyperlink" Target="https://login.consultant.ru/link/?req=doc&amp;base=LAW&amp;n=523948&amp;dst=100045" TargetMode = "External"/><Relationship Id="rId108" Type="http://schemas.openxmlformats.org/officeDocument/2006/relationships/hyperlink" Target="https://login.consultant.ru/link/?req=doc&amp;base=LAW&amp;n=523948&amp;dst=100045" TargetMode = "External"/><Relationship Id="rId109" Type="http://schemas.openxmlformats.org/officeDocument/2006/relationships/hyperlink" Target="https://login.consultant.ru/link/?req=doc&amp;base=LAW&amp;n=523948&amp;dst=100045" TargetMode = "External"/><Relationship Id="rId110" Type="http://schemas.openxmlformats.org/officeDocument/2006/relationships/hyperlink" Target="https://login.consultant.ru/link/?req=doc&amp;base=LAW&amp;n=523948&amp;dst=100045" TargetMode = "External"/><Relationship Id="rId111" Type="http://schemas.openxmlformats.org/officeDocument/2006/relationships/hyperlink" Target="https://login.consultant.ru/link/?req=doc&amp;base=LAW&amp;n=523948&amp;dst=100045" TargetMode = "External"/><Relationship Id="rId112" Type="http://schemas.openxmlformats.org/officeDocument/2006/relationships/hyperlink" Target="https://login.consultant.ru/link/?req=doc&amp;base=LAW&amp;n=523948&amp;dst=100045" TargetMode = "External"/><Relationship Id="rId113" Type="http://schemas.openxmlformats.org/officeDocument/2006/relationships/hyperlink" Target="https://login.consultant.ru/link/?req=doc&amp;base=LAW&amp;n=523948&amp;dst=100045" TargetMode = "External"/><Relationship Id="rId114" Type="http://schemas.openxmlformats.org/officeDocument/2006/relationships/hyperlink" Target="https://login.consultant.ru/link/?req=doc&amp;base=LAW&amp;n=523948&amp;dst=100045" TargetMode = "External"/><Relationship Id="rId115" Type="http://schemas.openxmlformats.org/officeDocument/2006/relationships/hyperlink" Target="https://www.cbr.ru/currency_base/daily/" TargetMode = "External"/><Relationship Id="rId116" Type="http://schemas.openxmlformats.org/officeDocument/2006/relationships/hyperlink" Target="https://login.consultant.ru/link/?req=doc&amp;base=LAW&amp;n=523948&amp;dst=100045" TargetMode = "External"/><Relationship Id="rId117" Type="http://schemas.openxmlformats.org/officeDocument/2006/relationships/hyperlink" Target="https://login.consultant.ru/link/?req=doc&amp;base=LAW&amp;n=523948&amp;dst=100045" TargetMode = "External"/><Relationship Id="rId118" Type="http://schemas.openxmlformats.org/officeDocument/2006/relationships/hyperlink" Target="https://login.consultant.ru/link/?req=doc&amp;base=LAW&amp;n=523948&amp;dst=100045" TargetMode = "External"/><Relationship Id="rId119" Type="http://schemas.openxmlformats.org/officeDocument/2006/relationships/hyperlink" Target="https://login.consultant.ru/link/?req=doc&amp;base=LAW&amp;n=451737" TargetMode = "External"/><Relationship Id="rId120" Type="http://schemas.openxmlformats.org/officeDocument/2006/relationships/hyperlink" Target="https://login.consultant.ru/link/?req=doc&amp;base=LAW&amp;n=523948&amp;dst=100045" TargetMode = "External"/><Relationship Id="rId121" Type="http://schemas.openxmlformats.org/officeDocument/2006/relationships/hyperlink" Target="https://login.consultant.ru/link/?req=doc&amp;base=LAW&amp;n=523948&amp;dst=2" TargetMode = "External"/><Relationship Id="rId122" Type="http://schemas.openxmlformats.org/officeDocument/2006/relationships/hyperlink" Target="https://login.consultant.ru/link/?req=doc&amp;base=LAW&amp;n=523948&amp;dst=3" TargetMode = "External"/><Relationship Id="rId123" Type="http://schemas.openxmlformats.org/officeDocument/2006/relationships/hyperlink" Target="https://login.consultant.ru/link/?req=doc&amp;base=LAW&amp;n=523948&amp;dst=3" TargetMode = "External"/><Relationship Id="rId124" Type="http://schemas.openxmlformats.org/officeDocument/2006/relationships/hyperlink" Target="https://login.consultant.ru/link/?req=doc&amp;base=LAW&amp;n=523948&amp;dst=3" TargetMode = "External"/><Relationship Id="rId125" Type="http://schemas.openxmlformats.org/officeDocument/2006/relationships/hyperlink" Target="https://login.consultant.ru/link/?req=doc&amp;base=LAW&amp;n=523948&amp;dst=3" TargetMode = "External"/><Relationship Id="rId126" Type="http://schemas.openxmlformats.org/officeDocument/2006/relationships/hyperlink" Target="https://login.consultant.ru/link/?req=doc&amp;base=LAW&amp;n=523948&amp;dst=100045" TargetMode = "External"/><Relationship Id="rId127" Type="http://schemas.openxmlformats.org/officeDocument/2006/relationships/hyperlink" Target="https://login.consultant.ru/link/?req=doc&amp;base=LAW&amp;n=523948&amp;dst=100045" TargetMode = "External"/><Relationship Id="rId128" Type="http://schemas.openxmlformats.org/officeDocument/2006/relationships/hyperlink" Target="https://login.consultant.ru/link/?req=doc&amp;base=LAW&amp;n=523948&amp;dst=100045" TargetMode = "External"/><Relationship Id="rId129" Type="http://schemas.openxmlformats.org/officeDocument/2006/relationships/hyperlink" Target="https://login.consultant.ru/link/?req=doc&amp;base=LAW&amp;n=523948&amp;dst=100045" TargetMode = "External"/><Relationship Id="rId130" Type="http://schemas.openxmlformats.org/officeDocument/2006/relationships/hyperlink" Target="https://login.consultant.ru/link/?req=doc&amp;base=LAW&amp;n=523948&amp;dst=100045" TargetMode = "External"/><Relationship Id="rId131" Type="http://schemas.openxmlformats.org/officeDocument/2006/relationships/hyperlink" Target="https://login.consultant.ru/link/?req=doc&amp;base=LAW&amp;n=523948&amp;dst=100045" TargetMode = "External"/><Relationship Id="rId132" Type="http://schemas.openxmlformats.org/officeDocument/2006/relationships/hyperlink" Target="https://login.consultant.ru/link/?req=doc&amp;base=LAW&amp;n=523948&amp;dst=100045" TargetMode = "External"/><Relationship Id="rId133" Type="http://schemas.openxmlformats.org/officeDocument/2006/relationships/hyperlink" Target="https://login.consultant.ru/link/?req=doc&amp;base=LAW&amp;n=523948&amp;dst=100045" TargetMode = "External"/><Relationship Id="rId134" Type="http://schemas.openxmlformats.org/officeDocument/2006/relationships/hyperlink" Target="https://login.consultant.ru/link/?req=doc&amp;base=LAW&amp;n=523948&amp;dst=7" TargetMode = "External"/><Relationship Id="rId135" Type="http://schemas.openxmlformats.org/officeDocument/2006/relationships/hyperlink" Target="https://login.consultant.ru/link/?req=doc&amp;base=LAW&amp;n=523948&amp;dst=7" TargetMode = "External"/><Relationship Id="rId136" Type="http://schemas.openxmlformats.org/officeDocument/2006/relationships/hyperlink" Target="https://login.consultant.ru/link/?req=doc&amp;base=LAW&amp;n=532255&amp;dst=100396" TargetMode = "External"/><Relationship Id="rId137" Type="http://schemas.openxmlformats.org/officeDocument/2006/relationships/hyperlink" Target="https://login.consultant.ru/link/?req=doc&amp;base=LAW&amp;n=523948&amp;dst=7" TargetMode = "External"/><Relationship Id="rId138" Type="http://schemas.openxmlformats.org/officeDocument/2006/relationships/hyperlink" Target="https://login.consultant.ru/link/?req=doc&amp;base=LAW&amp;n=523948&amp;dst=14" TargetMode = "External"/><Relationship Id="rId139" Type="http://schemas.openxmlformats.org/officeDocument/2006/relationships/hyperlink" Target="https://login.consultant.ru/link/?req=doc&amp;base=LAW&amp;n=523948&amp;dst=14" TargetMode = "External"/><Relationship Id="rId140" Type="http://schemas.openxmlformats.org/officeDocument/2006/relationships/hyperlink" Target="https://login.consultant.ru/link/?req=doc&amp;base=LAW&amp;n=523948&amp;dst=100045" TargetMode = "External"/><Relationship Id="rId141" Type="http://schemas.openxmlformats.org/officeDocument/2006/relationships/hyperlink" Target="https://login.consultant.ru/link/?req=doc&amp;base=LAW&amp;n=523948&amp;dst=24" TargetMode = "External"/><Relationship Id="rId142" Type="http://schemas.openxmlformats.org/officeDocument/2006/relationships/hyperlink" Target="https://login.consultant.ru/link/?req=doc&amp;base=LAW&amp;n=523948&amp;dst=7" TargetMode = "External"/><Relationship Id="rId143" Type="http://schemas.openxmlformats.org/officeDocument/2006/relationships/hyperlink" Target="https://login.consultant.ru/link/?req=doc&amp;base=LAW&amp;n=523948&amp;dst=100045" TargetMode = "External"/><Relationship Id="rId144" Type="http://schemas.openxmlformats.org/officeDocument/2006/relationships/hyperlink" Target="https://login.consultant.ru/link/?req=doc&amp;base=LAW&amp;n=523948&amp;dst=24" TargetMode = "External"/><Relationship Id="rId145" Type="http://schemas.openxmlformats.org/officeDocument/2006/relationships/hyperlink" Target="https://login.consultant.ru/link/?req=doc&amp;base=LAW&amp;n=523948&amp;dst=9" TargetMode = "External"/><Relationship Id="rId146" Type="http://schemas.openxmlformats.org/officeDocument/2006/relationships/hyperlink" Target="https://login.consultant.ru/link/?req=doc&amp;base=LAW&amp;n=523948&amp;dst=9" TargetMode = "External"/><Relationship Id="rId147" Type="http://schemas.openxmlformats.org/officeDocument/2006/relationships/hyperlink" Target="https://login.consultant.ru/link/?req=doc&amp;base=LAW&amp;n=523948&amp;dst=100045" TargetMode = "External"/><Relationship Id="rId148" Type="http://schemas.openxmlformats.org/officeDocument/2006/relationships/hyperlink" Target="https://login.consultant.ru/link/?req=doc&amp;base=LAW&amp;n=532972&amp;dst=101860" TargetMode = "External"/><Relationship Id="rId149" Type="http://schemas.openxmlformats.org/officeDocument/2006/relationships/hyperlink" Target="https://login.consultant.ru/link/?req=doc&amp;base=LAW&amp;n=523948&amp;dst=100045" TargetMode = "External"/><Relationship Id="rId150" Type="http://schemas.openxmlformats.org/officeDocument/2006/relationships/hyperlink" Target="https://login.consultant.ru/link/?req=doc&amp;base=LAW&amp;n=523948&amp;dst=14" TargetMode = "External"/><Relationship Id="rId151" Type="http://schemas.openxmlformats.org/officeDocument/2006/relationships/hyperlink" Target="https://login.consultant.ru/link/?req=doc&amp;base=LAW&amp;n=523948&amp;dst=24" TargetMode = "External"/><Relationship Id="rId152" Type="http://schemas.openxmlformats.org/officeDocument/2006/relationships/hyperlink" Target="https://login.consultant.ru/link/?req=doc&amp;base=LAW&amp;n=523948&amp;dst=7" TargetMode = "External"/><Relationship Id="rId153" Type="http://schemas.openxmlformats.org/officeDocument/2006/relationships/hyperlink" Target="https://login.consultant.ru/link/?req=doc&amp;base=LAW&amp;n=382670" TargetMode = "External"/><Relationship Id="rId154" Type="http://schemas.openxmlformats.org/officeDocument/2006/relationships/hyperlink" Target="https://mintrud.gov.ru/docs/1872" TargetMode = "External"/><Relationship Id="rId155" Type="http://schemas.openxmlformats.org/officeDocument/2006/relationships/hyperlink" Target="https://login.consultant.ru/link/?req=doc&amp;base=LAW&amp;n=523948&amp;dst=16" TargetMode = "External"/><Relationship Id="rId156" Type="http://schemas.openxmlformats.org/officeDocument/2006/relationships/hyperlink" Target="https://login.consultant.ru/link/?req=doc&amp;base=LAW&amp;n=523948&amp;dst=14" TargetMode = "External"/><Relationship Id="rId157" Type="http://schemas.openxmlformats.org/officeDocument/2006/relationships/hyperlink" Target="https://login.consultant.ru/link/?req=doc&amp;base=LAW&amp;n=523948&amp;dst=16" TargetMode = "External"/><Relationship Id="rId158" Type="http://schemas.openxmlformats.org/officeDocument/2006/relationships/hyperlink" Target="https://login.consultant.ru/link/?req=doc&amp;base=LAW&amp;n=523948&amp;dst=18" TargetMode = "External"/><Relationship Id="rId159" Type="http://schemas.openxmlformats.org/officeDocument/2006/relationships/hyperlink" Target="https://login.consultant.ru/link/?req=doc&amp;base=LAW&amp;n=523948&amp;dst=16" TargetMode = "External"/><Relationship Id="rId160" Type="http://schemas.openxmlformats.org/officeDocument/2006/relationships/hyperlink" Target="https://login.consultant.ru/link/?req=doc&amp;base=LAW&amp;n=523948&amp;dst=18" TargetMode = "External"/><Relationship Id="rId161" Type="http://schemas.openxmlformats.org/officeDocument/2006/relationships/hyperlink" Target="https://login.consultant.ru/link/?req=doc&amp;base=LAW&amp;n=523948&amp;dst=20" TargetMode = "External"/><Relationship Id="rId162" Type="http://schemas.openxmlformats.org/officeDocument/2006/relationships/hyperlink" Target="https://login.consultant.ru/link/?req=doc&amp;base=LAW&amp;n=523948&amp;dst=100175" TargetMode = "External"/><Relationship Id="rId163" Type="http://schemas.openxmlformats.org/officeDocument/2006/relationships/hyperlink" Target="https://login.consultant.ru/link/?req=doc&amp;base=LAW&amp;n=389806&amp;dst=100029" TargetMode = "External"/><Relationship Id="rId164" Type="http://schemas.openxmlformats.org/officeDocument/2006/relationships/hyperlink" Target="https://login.consultant.ru/link/?req=doc&amp;base=LAW&amp;n=523948&amp;dst=100045" TargetMode = "External"/><Relationship Id="rId165" Type="http://schemas.openxmlformats.org/officeDocument/2006/relationships/hyperlink" Target="https://login.consultant.ru/link/?req=doc&amp;base=LAW&amp;n=523948&amp;dst=100045" TargetMode = "External"/><Relationship Id="rId166" Type="http://schemas.openxmlformats.org/officeDocument/2006/relationships/hyperlink" Target="https://login.consultant.ru/link/?req=doc&amp;base=LAW&amp;n=389806" TargetMode = "External"/><Relationship Id="rId167" Type="http://schemas.openxmlformats.org/officeDocument/2006/relationships/hyperlink" Target="https://login.consultant.ru/link/?req=doc&amp;base=LAW&amp;n=523948&amp;dst=100045" TargetMode = "External"/><Relationship Id="rId168" Type="http://schemas.openxmlformats.org/officeDocument/2006/relationships/hyperlink" Target="https://login.consultant.ru/link/?req=doc&amp;base=LAW&amp;n=523948&amp;dst=22" TargetMode = "External"/><Relationship Id="rId169" Type="http://schemas.openxmlformats.org/officeDocument/2006/relationships/hyperlink" Target="https://login.consultant.ru/link/?req=doc&amp;base=LAW&amp;n=532255" TargetMode = "External"/><Relationship Id="rId170" Type="http://schemas.openxmlformats.org/officeDocument/2006/relationships/hyperlink" Target="https://login.consultant.ru/link/?req=doc&amp;base=LAW&amp;n=532972&amp;dst=13178" TargetMode = "External"/><Relationship Id="rId171" Type="http://schemas.openxmlformats.org/officeDocument/2006/relationships/hyperlink" Target="https://login.consultant.ru/link/?req=doc&amp;base=LAW&amp;n=532972&amp;dst=101069" TargetMode = "External"/><Relationship Id="rId172" Type="http://schemas.openxmlformats.org/officeDocument/2006/relationships/hyperlink" Target="https://login.consultant.ru/link/?req=doc&amp;base=LAW&amp;n=523948&amp;dst=100045" TargetMode = "External"/><Relationship Id="rId173" Type="http://schemas.openxmlformats.org/officeDocument/2006/relationships/hyperlink" Target="https://login.consultant.ru/link/?req=doc&amp;base=LAW&amp;n=523948&amp;dst=100191" TargetMode = "External"/><Relationship Id="rId174" Type="http://schemas.openxmlformats.org/officeDocument/2006/relationships/hyperlink" Target="https://login.consultant.ru/link/?req=doc&amp;base=LAW&amp;n=523948&amp;dst=24" TargetMode = "External"/><Relationship Id="rId175" Type="http://schemas.openxmlformats.org/officeDocument/2006/relationships/hyperlink" Target="https://login.consultant.ru/link/?req=doc&amp;base=LAW&amp;n=523948&amp;dst=100045" TargetMode = "External"/><Relationship Id="rId176" Type="http://schemas.openxmlformats.org/officeDocument/2006/relationships/hyperlink" Target="https://login.consultant.ru/link/?req=doc&amp;base=LAW&amp;n=523948&amp;dst=24" TargetMode = "External"/><Relationship Id="rId177" Type="http://schemas.openxmlformats.org/officeDocument/2006/relationships/hyperlink" Target="https://login.consultant.ru/link/?req=doc&amp;base=LAW&amp;n=521617&amp;dst=67" TargetMode = "External"/><Relationship Id="rId178" Type="http://schemas.openxmlformats.org/officeDocument/2006/relationships/hyperlink" Target="https://login.consultant.ru/link/?req=doc&amp;base=LAW&amp;n=523948&amp;dst=100045" TargetMode = "External"/><Relationship Id="rId179" Type="http://schemas.openxmlformats.org/officeDocument/2006/relationships/hyperlink" Target="https://login.consultant.ru/link/?req=doc&amp;base=LAW&amp;n=523948&amp;dst=24" TargetMode = "External"/><Relationship Id="rId180" Type="http://schemas.openxmlformats.org/officeDocument/2006/relationships/hyperlink" Target="https://login.consultant.ru/link/?req=doc&amp;base=LAW&amp;n=523948&amp;dst=100175" TargetMode = "External"/><Relationship Id="rId181" Type="http://schemas.openxmlformats.org/officeDocument/2006/relationships/hyperlink" Target="https://login.consultant.ru/link/?req=doc&amp;base=LAW&amp;n=523948&amp;dst=7" TargetMode = "External"/><Relationship Id="rId182" Type="http://schemas.openxmlformats.org/officeDocument/2006/relationships/hyperlink" Target="https://login.consultant.ru/link/?req=doc&amp;base=LAW&amp;n=523948&amp;dst=100247" TargetMode = "External"/><Relationship Id="rId183" Type="http://schemas.openxmlformats.org/officeDocument/2006/relationships/hyperlink" Target="https://login.consultant.ru/link/?req=doc&amp;base=LAW&amp;n=523948&amp;dst=24" TargetMode = "External"/><Relationship Id="rId184" Type="http://schemas.openxmlformats.org/officeDocument/2006/relationships/hyperlink" Target="https://login.consultant.ru/link/?req=doc&amp;base=LAW&amp;n=523948&amp;dst=22" TargetMode = "External"/><Relationship Id="rId185" Type="http://schemas.openxmlformats.org/officeDocument/2006/relationships/hyperlink" Target="https://login.consultant.ru/link/?req=doc&amp;base=LAW&amp;n=523948&amp;dst=7" TargetMode = "External"/><Relationship Id="rId186" Type="http://schemas.openxmlformats.org/officeDocument/2006/relationships/hyperlink" Target="https://login.consultant.ru/link/?req=doc&amp;base=LAW&amp;n=523948&amp;dst=100134" TargetMode = "External"/><Relationship Id="rId187" Type="http://schemas.openxmlformats.org/officeDocument/2006/relationships/hyperlink" Target="https://login.consultant.ru/link/?req=doc&amp;base=LAW&amp;n=523948&amp;dst=14" TargetMode = "External"/><Relationship Id="rId188" Type="http://schemas.openxmlformats.org/officeDocument/2006/relationships/hyperlink" Target="https://login.consultant.ru/link/?req=doc&amp;base=LAW&amp;n=523948&amp;dst=100175" TargetMode = "External"/><Relationship Id="rId189" Type="http://schemas.openxmlformats.org/officeDocument/2006/relationships/hyperlink" Target="https://login.consultant.ru/link/?req=doc&amp;base=LAW&amp;n=523948&amp;dst=16" TargetMode = "External"/><Relationship Id="rId190" Type="http://schemas.openxmlformats.org/officeDocument/2006/relationships/hyperlink" Target="https://login.consultant.ru/link/?req=doc&amp;base=LAW&amp;n=523948&amp;dst=18" TargetMode = "External"/><Relationship Id="rId191" Type="http://schemas.openxmlformats.org/officeDocument/2006/relationships/hyperlink" Target="https://login.consultant.ru/link/?req=doc&amp;base=LAW&amp;n=532972&amp;dst=101069" TargetMode = "External"/><Relationship Id="rId192" Type="http://schemas.openxmlformats.org/officeDocument/2006/relationships/hyperlink" Target="https://login.consultant.ru/link/?req=doc&amp;base=LAW&amp;n=523948&amp;dst=24" TargetMode = "External"/><Relationship Id="rId193" Type="http://schemas.openxmlformats.org/officeDocument/2006/relationships/hyperlink" Target="https://login.consultant.ru/link/?req=doc&amp;base=LAW&amp;n=523948&amp;dst=100045" TargetMode = "External"/><Relationship Id="rId194" Type="http://schemas.openxmlformats.org/officeDocument/2006/relationships/hyperlink" Target="https://login.consultant.ru/link/?req=doc&amp;base=LAW&amp;n=523948&amp;dst=105" TargetMode = "External"/><Relationship Id="rId195" Type="http://schemas.openxmlformats.org/officeDocument/2006/relationships/hyperlink" Target="https://login.consultant.ru/link/?req=doc&amp;base=LAW&amp;n=523948&amp;dst=24" TargetMode = "External"/><Relationship Id="rId196" Type="http://schemas.openxmlformats.org/officeDocument/2006/relationships/hyperlink" Target="https://login.consultant.ru/link/?req=doc&amp;base=LAW&amp;n=532972&amp;dst=101131" TargetMode = "External"/><Relationship Id="rId197" Type="http://schemas.openxmlformats.org/officeDocument/2006/relationships/hyperlink" Target="https://login.consultant.ru/link/?req=doc&amp;base=LAW&amp;n=523948&amp;dst=100247" TargetMode = "External"/><Relationship Id="rId198" Type="http://schemas.openxmlformats.org/officeDocument/2006/relationships/hyperlink" Target="https://login.consultant.ru/link/?req=doc&amp;base=LAW&amp;n=533496" TargetMode = "External"/><Relationship Id="rId199" Type="http://schemas.openxmlformats.org/officeDocument/2006/relationships/hyperlink" Target="https://login.consultant.ru/link/?req=doc&amp;base=LAW&amp;n=389806" TargetMode = "External"/><Relationship Id="rId200" Type="http://schemas.openxmlformats.org/officeDocument/2006/relationships/hyperlink" Target="https://login.consultant.ru/link/?req=doc&amp;base=LAW&amp;n=523948&amp;dst=7" TargetMode = "External"/><Relationship Id="rId201" Type="http://schemas.openxmlformats.org/officeDocument/2006/relationships/hyperlink" Target="https://login.consultant.ru/link/?req=doc&amp;base=LAW&amp;n=523948&amp;dst=7" TargetMode = "External"/><Relationship Id="rId202" Type="http://schemas.openxmlformats.org/officeDocument/2006/relationships/hyperlink" Target="https://login.consultant.ru/link/?req=doc&amp;base=LAW&amp;n=523948&amp;dst=33" TargetMode = "External"/><Relationship Id="rId203" Type="http://schemas.openxmlformats.org/officeDocument/2006/relationships/hyperlink" Target="https://login.consultant.ru/link/?req=doc&amp;base=LAW&amp;n=523305" TargetMode = "External"/><Relationship Id="rId204" Type="http://schemas.openxmlformats.org/officeDocument/2006/relationships/hyperlink" Target="https://login.consultant.ru/link/?req=doc&amp;base=LAW&amp;n=523948&amp;dst=33" TargetMode = "External"/><Relationship Id="rId205" Type="http://schemas.openxmlformats.org/officeDocument/2006/relationships/hyperlink" Target="https://login.consultant.ru/link/?req=doc&amp;base=LAW&amp;n=523948&amp;dst=36" TargetMode = "External"/><Relationship Id="rId206" Type="http://schemas.openxmlformats.org/officeDocument/2006/relationships/hyperlink" Target="https://login.consultant.ru/link/?req=doc&amp;base=LAW&amp;n=523948&amp;dst=100045" TargetMode = "External"/><Relationship Id="rId207" Type="http://schemas.openxmlformats.org/officeDocument/2006/relationships/hyperlink" Target="https://login.consultant.ru/link/?req=doc&amp;base=LAW&amp;n=523948&amp;dst=33" TargetMode = "External"/><Relationship Id="rId208" Type="http://schemas.openxmlformats.org/officeDocument/2006/relationships/hyperlink" Target="https://login.consultant.ru/link/?req=doc&amp;base=LAW&amp;n=523948&amp;dst=33" TargetMode = "External"/><Relationship Id="rId209" Type="http://schemas.openxmlformats.org/officeDocument/2006/relationships/hyperlink" Target="https://login.consultant.ru/link/?req=doc&amp;base=LAW&amp;n=523948&amp;dst=33" TargetMode = "External"/><Relationship Id="rId210" Type="http://schemas.openxmlformats.org/officeDocument/2006/relationships/hyperlink" Target="https://login.consultant.ru/link/?req=doc&amp;base=LAW&amp;n=523305" TargetMode = "External"/><Relationship Id="rId211" Type="http://schemas.openxmlformats.org/officeDocument/2006/relationships/hyperlink" Target="https://login.consultant.ru/link/?req=doc&amp;base=LAW&amp;n=523948&amp;dst=100045" TargetMode = "External"/><Relationship Id="rId212" Type="http://schemas.openxmlformats.org/officeDocument/2006/relationships/hyperlink" Target="https://login.consultant.ru/link/?req=doc&amp;base=LAW&amp;n=523948&amp;dst=35" TargetMode = "External"/><Relationship Id="rId213" Type="http://schemas.openxmlformats.org/officeDocument/2006/relationships/hyperlink" Target="https://login.consultant.ru/link/?req=doc&amp;base=LAW&amp;n=523948&amp;dst=36" TargetMode = "External"/><Relationship Id="rId214" Type="http://schemas.openxmlformats.org/officeDocument/2006/relationships/hyperlink" Target="https://login.consultant.ru/link/?req=doc&amp;base=LAW&amp;n=523948&amp;dst=37" TargetMode = "External"/><Relationship Id="rId215" Type="http://schemas.openxmlformats.org/officeDocument/2006/relationships/hyperlink" Target="https://login.consultant.ru/link/?req=doc&amp;base=LAW&amp;n=523948&amp;dst=38" TargetMode = "External"/><Relationship Id="rId216" Type="http://schemas.openxmlformats.org/officeDocument/2006/relationships/hyperlink" Target="https://login.consultant.ru/link/?req=doc&amp;base=LAW&amp;n=523948&amp;dst=100045" TargetMode = "External"/><Relationship Id="rId217" Type="http://schemas.openxmlformats.org/officeDocument/2006/relationships/hyperlink" Target="https://login.consultant.ru/link/?req=doc&amp;base=LAW&amp;n=523948&amp;dst=100045" TargetMode = "External"/><Relationship Id="rId218" Type="http://schemas.openxmlformats.org/officeDocument/2006/relationships/hyperlink" Target="https://login.consultant.ru/link/?req=doc&amp;base=LAW&amp;n=523948&amp;dst=100045" TargetMode = "External"/><Relationship Id="rId219" Type="http://schemas.openxmlformats.org/officeDocument/2006/relationships/hyperlink" Target="https://login.consultant.ru/link/?req=doc&amp;base=LAW&amp;n=523948&amp;dst=100247" TargetMode = "External"/><Relationship Id="rId220" Type="http://schemas.openxmlformats.org/officeDocument/2006/relationships/hyperlink" Target="https://login.consultant.ru/link/?req=doc&amp;base=LAW&amp;n=523948&amp;dst=100247" TargetMode = "External"/><Relationship Id="rId221" Type="http://schemas.openxmlformats.org/officeDocument/2006/relationships/hyperlink" Target="https://login.consultant.ru/link/?req=doc&amp;base=LAW&amp;n=523948&amp;dst=100105" TargetMode = "External"/><Relationship Id="rId222" Type="http://schemas.openxmlformats.org/officeDocument/2006/relationships/hyperlink" Target="https://login.consultant.ru/link/?req=doc&amp;base=LAW&amp;n=523948&amp;dst=100104" TargetMode = "External"/><Relationship Id="rId223" Type="http://schemas.openxmlformats.org/officeDocument/2006/relationships/hyperlink" Target="https://login.consultant.ru/link/?req=doc&amp;base=LAW&amp;n=523948&amp;dst=100105" TargetMode = "External"/><Relationship Id="rId224" Type="http://schemas.openxmlformats.org/officeDocument/2006/relationships/hyperlink" Target="https://login.consultant.ru/link/?req=doc&amp;base=LAW&amp;n=508490&amp;dst=100794" TargetMode = "External"/><Relationship Id="rId225" Type="http://schemas.openxmlformats.org/officeDocument/2006/relationships/hyperlink" Target="https://login.consultant.ru/link/?req=doc&amp;base=LAW&amp;n=508490&amp;dst=100794" TargetMode = "External"/><Relationship Id="rId226" Type="http://schemas.openxmlformats.org/officeDocument/2006/relationships/hyperlink" Target="https://login.consultant.ru/link/?req=doc&amp;base=LAW&amp;n=523948&amp;dst=100105" TargetMode = "External"/><Relationship Id="rId227" Type="http://schemas.openxmlformats.org/officeDocument/2006/relationships/hyperlink" Target="https://login.consultant.ru/link/?req=doc&amp;base=LAW&amp;n=523948&amp;dst=100105" TargetMode = "External"/><Relationship Id="rId228" Type="http://schemas.openxmlformats.org/officeDocument/2006/relationships/hyperlink" Target="https://login.consultant.ru/link/?req=doc&amp;base=LAW&amp;n=523948&amp;dst=100105" TargetMode = "External"/><Relationship Id="rId229" Type="http://schemas.openxmlformats.org/officeDocument/2006/relationships/hyperlink" Target="https://login.consultant.ru/link/?req=doc&amp;base=LAW&amp;n=511746&amp;dst=100012" TargetMode = "External"/><Relationship Id="rId230" Type="http://schemas.openxmlformats.org/officeDocument/2006/relationships/hyperlink" Target="https://login.consultant.ru/link/?req=doc&amp;base=LAW&amp;n=523948&amp;dst=100105" TargetMode = "External"/><Relationship Id="rId231" Type="http://schemas.openxmlformats.org/officeDocument/2006/relationships/hyperlink" Target="https://login.consultant.ru/link/?req=doc&amp;base=LAW&amp;n=508490&amp;dst=101177" TargetMode = "External"/><Relationship Id="rId232" Type="http://schemas.openxmlformats.org/officeDocument/2006/relationships/hyperlink" Target="https://login.consultant.ru/link/?req=doc&amp;base=LAW&amp;n=523948&amp;dst=100105" TargetMode = "External"/><Relationship Id="rId233" Type="http://schemas.openxmlformats.org/officeDocument/2006/relationships/hyperlink" Target="https://login.consultant.ru/link/?req=doc&amp;base=LAW&amp;n=523948&amp;dst=100045" TargetMode = "External"/><Relationship Id="rId234" Type="http://schemas.openxmlformats.org/officeDocument/2006/relationships/hyperlink" Target="https://login.consultant.ru/link/?req=doc&amp;base=LAW&amp;n=523948&amp;dst=100045" TargetMode = "External"/><Relationship Id="rId235" Type="http://schemas.openxmlformats.org/officeDocument/2006/relationships/hyperlink" Target="https://login.consultant.ru/link/?req=doc&amp;base=LAW&amp;n=511785" TargetMode = "External"/><Relationship Id="rId236" Type="http://schemas.openxmlformats.org/officeDocument/2006/relationships/hyperlink" Target="https://login.consultant.ru/link/?req=doc&amp;base=LAW&amp;n=454116&amp;dst=100011" TargetMode = "External"/><Relationship Id="rId237" Type="http://schemas.openxmlformats.org/officeDocument/2006/relationships/hyperlink" Target="https://login.consultant.ru/link/?req=doc&amp;base=LAW&amp;n=523948&amp;dst=100045" TargetMode = "External"/><Relationship Id="rId238" Type="http://schemas.openxmlformats.org/officeDocument/2006/relationships/hyperlink" Target="https://login.consultant.ru/link/?req=doc&amp;base=LAW&amp;n=523948&amp;dst=100122" TargetMode = "External"/><Relationship Id="rId239" Type="http://schemas.openxmlformats.org/officeDocument/2006/relationships/hyperlink" Target="https://login.consultant.ru/link/?req=doc&amp;base=LAW&amp;n=523948&amp;dst=100105" TargetMode = "External"/><Relationship Id="rId240" Type="http://schemas.openxmlformats.org/officeDocument/2006/relationships/hyperlink" Target="https://login.consultant.ru/link/?req=doc&amp;base=LAW&amp;n=523948&amp;dst=100231" TargetMode = "External"/><Relationship Id="rId241" Type="http://schemas.openxmlformats.org/officeDocument/2006/relationships/hyperlink" Target="https://login.consultant.ru/link/?req=doc&amp;base=LAW&amp;n=523948&amp;dst=100130" TargetMode = "External"/><Relationship Id="rId242" Type="http://schemas.openxmlformats.org/officeDocument/2006/relationships/hyperlink" Target="https://login.consultant.ru/link/?req=doc&amp;base=LAW&amp;n=523948&amp;dst=100105" TargetMode = "External"/><Relationship Id="rId243" Type="http://schemas.openxmlformats.org/officeDocument/2006/relationships/hyperlink" Target="https://login.consultant.ru/link/?req=doc&amp;base=LAW&amp;n=523948&amp;dst=100231" TargetMode = "External"/><Relationship Id="rId244" Type="http://schemas.openxmlformats.org/officeDocument/2006/relationships/hyperlink" Target="https://login.consultant.ru/link/?req=doc&amp;base=LAW&amp;n=523948&amp;dst=100108" TargetMode = "External"/><Relationship Id="rId245" Type="http://schemas.openxmlformats.org/officeDocument/2006/relationships/hyperlink" Target="https://login.consultant.ru/link/?req=doc&amp;base=LAW&amp;n=508490" TargetMode = "External"/><Relationship Id="rId246" Type="http://schemas.openxmlformats.org/officeDocument/2006/relationships/hyperlink" Target="https://login.consultant.ru/link/?req=doc&amp;base=LAW&amp;n=523948&amp;dst=100045" TargetMode = "External"/><Relationship Id="rId247" Type="http://schemas.openxmlformats.org/officeDocument/2006/relationships/hyperlink" Target="https://login.consultant.ru/link/?req=doc&amp;base=LAW&amp;n=523948&amp;dst=100108" TargetMode = "External"/><Relationship Id="rId248" Type="http://schemas.openxmlformats.org/officeDocument/2006/relationships/hyperlink" Target="https://login.consultant.ru/link/?req=doc&amp;base=LAW&amp;n=523948&amp;dst=100045" TargetMode = "External"/><Relationship Id="rId249" Type="http://schemas.openxmlformats.org/officeDocument/2006/relationships/hyperlink" Target="https://login.consultant.ru/link/?req=doc&amp;base=LAW&amp;n=511785" TargetMode = "External"/><Relationship Id="rId250" Type="http://schemas.openxmlformats.org/officeDocument/2006/relationships/hyperlink" Target="https://login.consultant.ru/link/?req=doc&amp;base=LAW&amp;n=508490&amp;dst=101196" TargetMode = "External"/><Relationship Id="rId251" Type="http://schemas.openxmlformats.org/officeDocument/2006/relationships/hyperlink" Target="https://login.consultant.ru/link/?req=doc&amp;base=LAW&amp;n=523948&amp;dst=100105" TargetMode = "External"/><Relationship Id="rId252" Type="http://schemas.openxmlformats.org/officeDocument/2006/relationships/hyperlink" Target="https://login.consultant.ru/link/?req=doc&amp;base=LAW&amp;n=523948&amp;dst=100231" TargetMode = "External"/><Relationship Id="rId253" Type="http://schemas.openxmlformats.org/officeDocument/2006/relationships/hyperlink" Target="https://lk.rosreestr.ru/eservices/real-estate-objects-online" TargetMode = "External"/><Relationship Id="rId254" Type="http://schemas.openxmlformats.org/officeDocument/2006/relationships/hyperlink" Target="https://login.consultant.ru/link/?req=doc&amp;base=LAW&amp;n=201820" TargetMode = "External"/><Relationship Id="rId255" Type="http://schemas.openxmlformats.org/officeDocument/2006/relationships/hyperlink" Target="https://login.consultant.ru/link/?req=doc&amp;base=LAW&amp;n=201820" TargetMode = "External"/><Relationship Id="rId256" Type="http://schemas.openxmlformats.org/officeDocument/2006/relationships/hyperlink" Target="https://login.consultant.ru/link/?req=doc&amp;base=LAW&amp;n=523948&amp;dst=100105" TargetMode = "External"/><Relationship Id="rId257" Type="http://schemas.openxmlformats.org/officeDocument/2006/relationships/hyperlink" Target="https://login.consultant.ru/link/?req=doc&amp;base=LAW&amp;n=523290&amp;dst=100011" TargetMode = "External"/><Relationship Id="rId258" Type="http://schemas.openxmlformats.org/officeDocument/2006/relationships/hyperlink" Target="https://login.consultant.ru/link/?req=doc&amp;base=LAW&amp;n=520099&amp;dst=100102" TargetMode = "External"/><Relationship Id="rId259" Type="http://schemas.openxmlformats.org/officeDocument/2006/relationships/hyperlink" Target="https://login.consultant.ru/link/?req=doc&amp;base=LAW&amp;n=520103&amp;dst=100102" TargetMode = "External"/><Relationship Id="rId260" Type="http://schemas.openxmlformats.org/officeDocument/2006/relationships/hyperlink" Target="https://login.consultant.ru/link/?req=doc&amp;base=LAW&amp;n=520102&amp;dst=100100" TargetMode = "External"/><Relationship Id="rId261" Type="http://schemas.openxmlformats.org/officeDocument/2006/relationships/hyperlink" Target="https://login.consultant.ru/link/?req=doc&amp;base=LAW&amp;n=520100&amp;dst=100100" TargetMode = "External"/><Relationship Id="rId262" Type="http://schemas.openxmlformats.org/officeDocument/2006/relationships/hyperlink" Target="https://login.consultant.ru/link/?req=doc&amp;base=LAW&amp;n=523948&amp;dst=100138" TargetMode = "External"/><Relationship Id="rId263" Type="http://schemas.openxmlformats.org/officeDocument/2006/relationships/hyperlink" Target="https://login.consultant.ru/link/?req=doc&amp;base=LAW&amp;n=523948&amp;dst=100138" TargetMode = "External"/><Relationship Id="rId264" Type="http://schemas.openxmlformats.org/officeDocument/2006/relationships/hyperlink" Target="https://login.consultant.ru/link/?req=doc&amp;base=LAW&amp;n=523948&amp;dst=100045" TargetMode = "External"/><Relationship Id="rId265" Type="http://schemas.openxmlformats.org/officeDocument/2006/relationships/hyperlink" Target="https://login.consultant.ru/link/?req=doc&amp;base=LAW&amp;n=523948&amp;dst=100138" TargetMode = "External"/><Relationship Id="rId266" Type="http://schemas.openxmlformats.org/officeDocument/2006/relationships/hyperlink" Target="https://login.consultant.ru/link/?req=doc&amp;base=LAW&amp;n=513128&amp;dst=100017" TargetMode = "External"/><Relationship Id="rId267" Type="http://schemas.openxmlformats.org/officeDocument/2006/relationships/hyperlink" Target="https://login.consultant.ru/link/?req=doc&amp;base=LAW&amp;n=523948&amp;dst=100138" TargetMode = "External"/><Relationship Id="rId268" Type="http://schemas.openxmlformats.org/officeDocument/2006/relationships/hyperlink" Target="https://login.consultant.ru/link/?req=doc&amp;base=LAW&amp;n=523948&amp;dst=100138" TargetMode = "External"/><Relationship Id="rId269" Type="http://schemas.openxmlformats.org/officeDocument/2006/relationships/hyperlink" Target="https://login.consultant.ru/link/?req=doc&amp;base=LAW&amp;n=523948&amp;dst=7" TargetMode = "External"/><Relationship Id="rId270" Type="http://schemas.openxmlformats.org/officeDocument/2006/relationships/hyperlink" Target="https://login.consultant.ru/link/?req=doc&amp;base=ARB&amp;n=580226" TargetMode = "External"/><Relationship Id="rId271" Type="http://schemas.openxmlformats.org/officeDocument/2006/relationships/hyperlink" Target="https://login.consultant.ru/link/?req=doc&amp;base=LAW&amp;n=523948&amp;dst=100138" TargetMode = "External"/><Relationship Id="rId272" Type="http://schemas.openxmlformats.org/officeDocument/2006/relationships/hyperlink" Target="https://login.consultant.ru/link/?req=doc&amp;base=LAW&amp;n=523948&amp;dst=100142" TargetMode = "External"/><Relationship Id="rId273" Type="http://schemas.openxmlformats.org/officeDocument/2006/relationships/hyperlink" Target="https://login.consultant.ru/link/?req=doc&amp;base=LAW&amp;n=523948&amp;dst=100138" TargetMode = "External"/><Relationship Id="rId274" Type="http://schemas.openxmlformats.org/officeDocument/2006/relationships/hyperlink" Target="https://login.consultant.ru/link/?req=doc&amp;base=LAW&amp;n=523948&amp;dst=100171" TargetMode = "External"/><Relationship Id="rId275" Type="http://schemas.openxmlformats.org/officeDocument/2006/relationships/hyperlink" Target="https://login.consultant.ru/link/?req=doc&amp;base=LAW&amp;n=523948&amp;dst=100045" TargetMode = "External"/><Relationship Id="rId276" Type="http://schemas.openxmlformats.org/officeDocument/2006/relationships/hyperlink" Target="https://login.consultant.ru/link/?req=doc&amp;base=LAW&amp;n=523948&amp;dst=73" TargetMode = "External"/><Relationship Id="rId277" Type="http://schemas.openxmlformats.org/officeDocument/2006/relationships/hyperlink" Target="https://login.consultant.ru/link/?req=doc&amp;base=LAW&amp;n=508490&amp;dst=11050" TargetMode = "External"/><Relationship Id="rId278" Type="http://schemas.openxmlformats.org/officeDocument/2006/relationships/hyperlink" Target="https://login.consultant.ru/link/?req=doc&amp;base=LAW&amp;n=521674&amp;dst=100008" TargetMode = "External"/><Relationship Id="rId279" Type="http://schemas.openxmlformats.org/officeDocument/2006/relationships/hyperlink" Target="https://login.consultant.ru/link/?req=doc&amp;base=LAW&amp;n=521674" TargetMode = "External"/><Relationship Id="rId280" Type="http://schemas.openxmlformats.org/officeDocument/2006/relationships/hyperlink" Target="https://login.consultant.ru/link/?req=doc&amp;base=LAW&amp;n=521674" TargetMode = "External"/><Relationship Id="rId281" Type="http://schemas.openxmlformats.org/officeDocument/2006/relationships/hyperlink" Target="https://login.consultant.ru/link/?req=doc&amp;base=LAW&amp;n=523948&amp;dst=75" TargetMode = "External"/><Relationship Id="rId282" Type="http://schemas.openxmlformats.org/officeDocument/2006/relationships/hyperlink" Target="https://login.consultant.ru/link/?req=doc&amp;base=LAW&amp;n=523948&amp;dst=76" TargetMode = "External"/><Relationship Id="rId283" Type="http://schemas.openxmlformats.org/officeDocument/2006/relationships/hyperlink" Target="https://login.consultant.ru/link/?req=doc&amp;base=LAW&amp;n=523948&amp;dst=77" TargetMode = "External"/><Relationship Id="rId284" Type="http://schemas.openxmlformats.org/officeDocument/2006/relationships/hyperlink" Target="https://login.consultant.ru/link/?req=doc&amp;base=LAW&amp;n=523948&amp;dst=78" TargetMode = "External"/><Relationship Id="rId285" Type="http://schemas.openxmlformats.org/officeDocument/2006/relationships/hyperlink" Target="https://cbr.ru/admissionfinmarket/navigator/ois/" TargetMode = "External"/><Relationship Id="rId286" Type="http://schemas.openxmlformats.org/officeDocument/2006/relationships/hyperlink" Target="https://login.consultant.ru/link/?req=doc&amp;base=LAW&amp;n=523948&amp;dst=88" TargetMode = "External"/><Relationship Id="rId287" Type="http://schemas.openxmlformats.org/officeDocument/2006/relationships/hyperlink" Target="https://login.consultant.ru/link/?req=doc&amp;base=LAW&amp;n=482679&amp;dst=100076" TargetMode = "External"/><Relationship Id="rId288" Type="http://schemas.openxmlformats.org/officeDocument/2006/relationships/hyperlink" Target="https://login.consultant.ru/link/?req=doc&amp;base=LAW&amp;n=482679&amp;dst=100145" TargetMode = "External"/><Relationship Id="rId289" Type="http://schemas.openxmlformats.org/officeDocument/2006/relationships/hyperlink" Target="https://login.consultant.ru/link/?req=doc&amp;base=LAW&amp;n=482679&amp;dst=100056" TargetMode = "External"/><Relationship Id="rId290" Type="http://schemas.openxmlformats.org/officeDocument/2006/relationships/hyperlink" Target="https://login.consultant.ru/link/?req=doc&amp;base=LAW&amp;n=523948&amp;dst=88" TargetMode = "External"/><Relationship Id="rId291" Type="http://schemas.openxmlformats.org/officeDocument/2006/relationships/hyperlink" Target="https://login.consultant.ru/link/?req=doc&amp;base=LAW&amp;n=523948&amp;dst=90" TargetMode = "External"/><Relationship Id="rId292" Type="http://schemas.openxmlformats.org/officeDocument/2006/relationships/hyperlink" Target="https://login.consultant.ru/link/?req=doc&amp;base=LAW&amp;n=523948&amp;dst=91" TargetMode = "External"/><Relationship Id="rId293" Type="http://schemas.openxmlformats.org/officeDocument/2006/relationships/hyperlink" Target="https://login.consultant.ru/link/?req=doc&amp;base=LAW&amp;n=523948&amp;dst=92" TargetMode = "External"/><Relationship Id="rId294" Type="http://schemas.openxmlformats.org/officeDocument/2006/relationships/hyperlink" Target="https://login.consultant.ru/link/?req=doc&amp;base=LAW&amp;n=482679&amp;dst=100015" TargetMode = "External"/><Relationship Id="rId295" Type="http://schemas.openxmlformats.org/officeDocument/2006/relationships/hyperlink" Target="https://login.consultant.ru/link/?req=doc&amp;base=LAW&amp;n=523948&amp;dst=93" TargetMode = "External"/><Relationship Id="rId296" Type="http://schemas.openxmlformats.org/officeDocument/2006/relationships/hyperlink" Target="https://cbr.ru/admissionfinmarket/navigator/oip/" TargetMode = "External"/><Relationship Id="rId297" Type="http://schemas.openxmlformats.org/officeDocument/2006/relationships/hyperlink" Target="https://login.consultant.ru/link/?req=doc&amp;base=LAW&amp;n=523948&amp;dst=105" TargetMode = "External"/><Relationship Id="rId298" Type="http://schemas.openxmlformats.org/officeDocument/2006/relationships/hyperlink" Target="https://login.consultant.ru/link/?req=doc&amp;base=LAW&amp;n=521674&amp;dst=100008" TargetMode = "External"/><Relationship Id="rId299" Type="http://schemas.openxmlformats.org/officeDocument/2006/relationships/hyperlink" Target="https://login.consultant.ru/link/?req=doc&amp;base=LAW&amp;n=523948&amp;dst=107" TargetMode = "External"/><Relationship Id="rId300" Type="http://schemas.openxmlformats.org/officeDocument/2006/relationships/hyperlink" Target="https://login.consultant.ru/link/?req=doc&amp;base=LAW&amp;n=523948&amp;dst=108" TargetMode = "External"/><Relationship Id="rId301" Type="http://schemas.openxmlformats.org/officeDocument/2006/relationships/hyperlink" Target="https://login.consultant.ru/link/?req=doc&amp;base=LAW&amp;n=523948&amp;dst=108" TargetMode = "External"/><Relationship Id="rId302" Type="http://schemas.openxmlformats.org/officeDocument/2006/relationships/hyperlink" Target="https://login.consultant.ru/link/?req=doc&amp;base=LAW&amp;n=523948&amp;dst=109" TargetMode = "External"/><Relationship Id="rId303" Type="http://schemas.openxmlformats.org/officeDocument/2006/relationships/hyperlink" Target="https://login.consultant.ru/link/?req=doc&amp;base=LAW&amp;n=523948&amp;dst=100175" TargetMode = "External"/><Relationship Id="rId304" Type="http://schemas.openxmlformats.org/officeDocument/2006/relationships/hyperlink" Target="https://login.consultant.ru/link/?req=doc&amp;base=LAW&amp;n=523948&amp;dst=100175" TargetMode = "External"/><Relationship Id="rId305" Type="http://schemas.openxmlformats.org/officeDocument/2006/relationships/hyperlink" Target="https://login.consultant.ru/link/?req=doc&amp;base=LAW&amp;n=523948&amp;dst=100045" TargetMode = "External"/><Relationship Id="rId306" Type="http://schemas.openxmlformats.org/officeDocument/2006/relationships/hyperlink" Target="https://login.consultant.ru/link/?req=doc&amp;base=LAW&amp;n=523948&amp;dst=100045" TargetMode = "External"/><Relationship Id="rId307" Type="http://schemas.openxmlformats.org/officeDocument/2006/relationships/hyperlink" Target="https://login.consultant.ru/link/?req=doc&amp;base=LAW&amp;n=523948&amp;dst=100175" TargetMode = "External"/><Relationship Id="rId308" Type="http://schemas.openxmlformats.org/officeDocument/2006/relationships/hyperlink" Target="https://login.consultant.ru/link/?req=doc&amp;base=LAW&amp;n=523948&amp;dst=100175" TargetMode = "External"/><Relationship Id="rId309" Type="http://schemas.openxmlformats.org/officeDocument/2006/relationships/hyperlink" Target="https://login.consultant.ru/link/?req=doc&amp;base=LAW&amp;n=523948&amp;dst=100175" TargetMode = "External"/><Relationship Id="rId310" Type="http://schemas.openxmlformats.org/officeDocument/2006/relationships/hyperlink" Target="https://login.consultant.ru/link/?req=doc&amp;base=LAW&amp;n=523290" TargetMode = "External"/><Relationship Id="rId311" Type="http://schemas.openxmlformats.org/officeDocument/2006/relationships/hyperlink" Target="https://www.cbr.ru/hd_base/metall/metall_base_new/" TargetMode = "External"/><Relationship Id="rId312" Type="http://schemas.openxmlformats.org/officeDocument/2006/relationships/hyperlink" Target="https://login.consultant.ru/link/?req=doc&amp;base=LAW&amp;n=523948&amp;dst=100175" TargetMode = "External"/><Relationship Id="rId313" Type="http://schemas.openxmlformats.org/officeDocument/2006/relationships/hyperlink" Target="https://login.consultant.ru/link/?req=doc&amp;base=LAW&amp;n=533496" TargetMode = "External"/><Relationship Id="rId314" Type="http://schemas.openxmlformats.org/officeDocument/2006/relationships/hyperlink" Target="https://login.consultant.ru/link/?req=doc&amp;base=LAW&amp;n=523948&amp;dst=100247" TargetMode = "External"/><Relationship Id="rId315" Type="http://schemas.openxmlformats.org/officeDocument/2006/relationships/hyperlink" Target="https://login.consultant.ru/link/?req=doc&amp;base=LAW&amp;n=389806" TargetMode = "External"/><Relationship Id="rId316" Type="http://schemas.openxmlformats.org/officeDocument/2006/relationships/hyperlink" Target="https://login.consultant.ru/link/?req=doc&amp;base=LAW&amp;n=389806" TargetMode = "External"/><Relationship Id="rId317" Type="http://schemas.openxmlformats.org/officeDocument/2006/relationships/hyperlink" Target="https://login.consultant.ru/link/?req=doc&amp;base=LAW&amp;n=523948&amp;dst=100175" TargetMode = "External"/><Relationship Id="rId318" Type="http://schemas.openxmlformats.org/officeDocument/2006/relationships/hyperlink" Target="https://login.consultant.ru/link/?req=doc&amp;base=LAW&amp;n=389806" TargetMode = "External"/><Relationship Id="rId319" Type="http://schemas.openxmlformats.org/officeDocument/2006/relationships/hyperlink" Target="https://login.consultant.ru/link/?req=doc&amp;base=LAW&amp;n=523948&amp;dst=100177" TargetMode = "External"/><Relationship Id="rId320" Type="http://schemas.openxmlformats.org/officeDocument/2006/relationships/hyperlink" Target="https://login.consultant.ru/link/?req=doc&amp;base=LAW&amp;n=523948&amp;dst=100178" TargetMode = "External"/><Relationship Id="rId321" Type="http://schemas.openxmlformats.org/officeDocument/2006/relationships/hyperlink" Target="https://login.consultant.ru/link/?req=doc&amp;base=LAW&amp;n=508490" TargetMode = "External"/><Relationship Id="rId322" Type="http://schemas.openxmlformats.org/officeDocument/2006/relationships/hyperlink" Target="https://login.consultant.ru/link/?req=doc&amp;base=LAW&amp;n=498491" TargetMode = "External"/><Relationship Id="rId323" Type="http://schemas.openxmlformats.org/officeDocument/2006/relationships/hyperlink" Target="https://login.consultant.ru/link/?req=doc&amp;base=LAW&amp;n=498491" TargetMode = "External"/><Relationship Id="rId324" Type="http://schemas.openxmlformats.org/officeDocument/2006/relationships/hyperlink" Target="https://login.consultant.ru/link/?req=doc&amp;base=LAW&amp;n=523948&amp;dst=100175" TargetMode = "External"/><Relationship Id="rId325" Type="http://schemas.openxmlformats.org/officeDocument/2006/relationships/hyperlink" Target="https://login.consultant.ru/link/?req=doc&amp;base=LAW&amp;n=523948&amp;dst=100175" TargetMode = "External"/><Relationship Id="rId326" Type="http://schemas.openxmlformats.org/officeDocument/2006/relationships/hyperlink" Target="https://login.consultant.ru/link/?req=doc&amp;base=LAW&amp;n=523948&amp;dst=100179" TargetMode = "External"/><Relationship Id="rId327" Type="http://schemas.openxmlformats.org/officeDocument/2006/relationships/hyperlink" Target="https://login.consultant.ru/link/?req=doc&amp;base=LAW&amp;n=523948&amp;dst=100180" TargetMode = "External"/><Relationship Id="rId328" Type="http://schemas.openxmlformats.org/officeDocument/2006/relationships/hyperlink" Target="https://login.consultant.ru/link/?req=doc&amp;base=LAW&amp;n=508506&amp;dst=297" TargetMode = "External"/><Relationship Id="rId329" Type="http://schemas.openxmlformats.org/officeDocument/2006/relationships/hyperlink" Target="https://login.consultant.ru/link/?req=doc&amp;base=LAW&amp;n=523948&amp;dst=100180" TargetMode = "External"/><Relationship Id="rId330" Type="http://schemas.openxmlformats.org/officeDocument/2006/relationships/hyperlink" Target="https://login.consultant.ru/link/?req=doc&amp;base=LAW&amp;n=487893" TargetMode = "External"/><Relationship Id="rId331" Type="http://schemas.openxmlformats.org/officeDocument/2006/relationships/hyperlink" Target="https://login.consultant.ru/link/?req=doc&amp;base=LAW&amp;n=523948&amp;dst=100181" TargetMode = "External"/><Relationship Id="rId332" Type="http://schemas.openxmlformats.org/officeDocument/2006/relationships/hyperlink" Target="https://login.consultant.ru/link/?req=doc&amp;base=LAW&amp;n=523948&amp;dst=100181" TargetMode = "External"/><Relationship Id="rId333" Type="http://schemas.openxmlformats.org/officeDocument/2006/relationships/hyperlink" Target="https://login.consultant.ru/link/?req=doc&amp;base=LAW&amp;n=523948&amp;dst=100045" TargetMode = "External"/><Relationship Id="rId334" Type="http://schemas.openxmlformats.org/officeDocument/2006/relationships/hyperlink" Target="https://login.consultant.ru/link/?req=doc&amp;base=LAW&amp;n=523948&amp;dst=100181" TargetMode = "External"/><Relationship Id="rId335" Type="http://schemas.openxmlformats.org/officeDocument/2006/relationships/image" Target="media/image2.wmf"/><Relationship Id="rId336" Type="http://schemas.openxmlformats.org/officeDocument/2006/relationships/hyperlink" Target="https://login.consultant.ru/link/?req=doc&amp;base=LAW&amp;n=523948&amp;dst=100045" TargetMode = "External"/><Relationship Id="rId337" Type="http://schemas.openxmlformats.org/officeDocument/2006/relationships/hyperlink" Target="https://login.consultant.ru/link/?req=doc&amp;base=LAW&amp;n=523948&amp;dst=100181" TargetMode = "External"/><Relationship Id="rId338" Type="http://schemas.openxmlformats.org/officeDocument/2006/relationships/hyperlink" Target="https://login.consultant.ru/link/?req=doc&amp;base=LAW&amp;n=523948&amp;dst=100181" TargetMode = "External"/><Relationship Id="rId339" Type="http://schemas.openxmlformats.org/officeDocument/2006/relationships/hyperlink" Target="https://login.consultant.ru/link/?req=doc&amp;base=LAW&amp;n=523948&amp;dst=100181" TargetMode = "External"/><Relationship Id="rId340" Type="http://schemas.openxmlformats.org/officeDocument/2006/relationships/hyperlink" Target="https://login.consultant.ru/link/?req=doc&amp;base=LAW&amp;n=523948&amp;dst=100045" TargetMode = "External"/><Relationship Id="rId341" Type="http://schemas.openxmlformats.org/officeDocument/2006/relationships/hyperlink" Target="https://login.consultant.ru/link/?req=doc&amp;base=LAW&amp;n=523948&amp;dst=100045" TargetMode = "External"/><Relationship Id="rId342" Type="http://schemas.openxmlformats.org/officeDocument/2006/relationships/hyperlink" Target="https://login.consultant.ru/link/?req=doc&amp;base=LAW&amp;n=523948&amp;dst=100045" TargetMode = "External"/><Relationship Id="rId343" Type="http://schemas.openxmlformats.org/officeDocument/2006/relationships/hyperlink" Target="https://login.consultant.ru/link/?req=doc&amp;base=LAW&amp;n=523948&amp;dst=7" TargetMode = "External"/><Relationship Id="rId344" Type="http://schemas.openxmlformats.org/officeDocument/2006/relationships/hyperlink" Target="https://login.consultant.ru/link/?req=doc&amp;base=LAW&amp;n=523948&amp;dst=100175" TargetMode = "External"/><Relationship Id="rId345" Type="http://schemas.openxmlformats.org/officeDocument/2006/relationships/hyperlink" Target="https://login.consultant.ru/link/?req=doc&amp;base=LAW&amp;n=523948&amp;dst=100181" TargetMode = "External"/><Relationship Id="rId346" Type="http://schemas.openxmlformats.org/officeDocument/2006/relationships/hyperlink" Target="https://login.consultant.ru/link/?req=doc&amp;base=LAW&amp;n=523948&amp;dst=100181" TargetMode = "External"/><Relationship Id="rId347" Type="http://schemas.openxmlformats.org/officeDocument/2006/relationships/hyperlink" Target="https://login.consultant.ru/link/?req=doc&amp;base=LAW&amp;n=523948&amp;dst=100181" TargetMode = "External"/><Relationship Id="rId348" Type="http://schemas.openxmlformats.org/officeDocument/2006/relationships/hyperlink" Target="https://login.consultant.ru/link/?req=doc&amp;base=LAW&amp;n=523948&amp;dst=100181" TargetMode = "External"/><Relationship Id="rId349" Type="http://schemas.openxmlformats.org/officeDocument/2006/relationships/hyperlink" Target="https://login.consultant.ru/link/?req=doc&amp;base=LAW&amp;n=523948&amp;dst=100181" TargetMode = "External"/><Relationship Id="rId350" Type="http://schemas.openxmlformats.org/officeDocument/2006/relationships/hyperlink" Target="https://login.consultant.ru/link/?req=doc&amp;base=LAW&amp;n=523948&amp;dst=100181" TargetMode = "External"/><Relationship Id="rId351" Type="http://schemas.openxmlformats.org/officeDocument/2006/relationships/hyperlink" Target="https://login.consultant.ru/link/?req=doc&amp;base=LAW&amp;n=523948&amp;dst=100045" TargetMode = "External"/><Relationship Id="rId352" Type="http://schemas.openxmlformats.org/officeDocument/2006/relationships/hyperlink" Target="https://login.consultant.ru/link/?req=doc&amp;base=LAW&amp;n=523948&amp;dst=100175" TargetMode = "External"/><Relationship Id="rId353" Type="http://schemas.openxmlformats.org/officeDocument/2006/relationships/hyperlink" Target="https://www.nalog.gov.ru/rn77/related_activities/accounting/bank_account/" TargetMode = "External"/><Relationship Id="rId354" Type="http://schemas.openxmlformats.org/officeDocument/2006/relationships/hyperlink" Target="https://login.consultant.ru/link/?req=doc&amp;base=LAW&amp;n=389806" TargetMode = "External"/><Relationship Id="rId355" Type="http://schemas.openxmlformats.org/officeDocument/2006/relationships/hyperlink" Target="https://login.consultant.ru/link/?req=doc&amp;base=LAW&amp;n=389806" TargetMode = "External"/><Relationship Id="rId356" Type="http://schemas.openxmlformats.org/officeDocument/2006/relationships/hyperlink" Target="https://login.consultant.ru/link/?req=doc&amp;base=LAW&amp;n=523948&amp;dst=100247" TargetMode = "External"/><Relationship Id="rId357" Type="http://schemas.openxmlformats.org/officeDocument/2006/relationships/hyperlink" Target="https://login.consultant.ru/link/?req=doc&amp;base=LAW&amp;n=523948&amp;dst=100247" TargetMode = "External"/><Relationship Id="rId358" Type="http://schemas.openxmlformats.org/officeDocument/2006/relationships/hyperlink" Target="https://login.consultant.ru/link/?req=doc&amp;base=LAW&amp;n=523948&amp;dst=100175" TargetMode = "External"/><Relationship Id="rId359" Type="http://schemas.openxmlformats.org/officeDocument/2006/relationships/hyperlink" Target="https://login.consultant.ru/link/?req=doc&amp;base=LAW&amp;n=451749" TargetMode = "External"/><Relationship Id="rId360" Type="http://schemas.openxmlformats.org/officeDocument/2006/relationships/hyperlink" Target="https://login.consultant.ru/link/?req=doc&amp;base=LAW&amp;n=531549" TargetMode = "External"/><Relationship Id="rId361" Type="http://schemas.openxmlformats.org/officeDocument/2006/relationships/hyperlink" Target="https://login.consultant.ru/link/?req=doc&amp;base=LAW&amp;n=531458&amp;dst=704" TargetMode = "External"/><Relationship Id="rId362" Type="http://schemas.openxmlformats.org/officeDocument/2006/relationships/hyperlink" Target="https://login.consultant.ru/link/?req=doc&amp;base=LAW&amp;n=523948&amp;dst=100175" TargetMode = "External"/><Relationship Id="rId363" Type="http://schemas.openxmlformats.org/officeDocument/2006/relationships/hyperlink" Target="https://login.consultant.ru/link/?req=doc&amp;base=LAW&amp;n=389806" TargetMode = "External"/><Relationship Id="rId364" Type="http://schemas.openxmlformats.org/officeDocument/2006/relationships/hyperlink" Target="https://login.consultant.ru/link/?req=doc&amp;base=LAW&amp;n=389806" TargetMode = "External"/><Relationship Id="rId365" Type="http://schemas.openxmlformats.org/officeDocument/2006/relationships/hyperlink" Target="https://login.consultant.ru/link/?req=doc&amp;base=LAW&amp;n=523948&amp;dst=100191" TargetMode = "External"/><Relationship Id="rId366" Type="http://schemas.openxmlformats.org/officeDocument/2006/relationships/hyperlink" Target="https://login.consultant.ru/link/?req=doc&amp;base=LAW&amp;n=523948&amp;dst=100191" TargetMode = "External"/><Relationship Id="rId367" Type="http://schemas.openxmlformats.org/officeDocument/2006/relationships/hyperlink" Target="https://login.consultant.ru/link/?req=doc&amp;base=LAW&amp;n=523948&amp;dst=7" TargetMode = "External"/><Relationship Id="rId368" Type="http://schemas.openxmlformats.org/officeDocument/2006/relationships/hyperlink" Target="https://login.consultant.ru/link/?req=doc&amp;base=LAW&amp;n=523948&amp;dst=22" TargetMode = "External"/><Relationship Id="rId369" Type="http://schemas.openxmlformats.org/officeDocument/2006/relationships/hyperlink" Target="https://login.consultant.ru/link/?req=doc&amp;base=LAW&amp;n=523948&amp;dst=100191" TargetMode = "External"/><Relationship Id="rId370" Type="http://schemas.openxmlformats.org/officeDocument/2006/relationships/hyperlink" Target="https://login.consultant.ru/link/?req=doc&amp;base=LAW&amp;n=523948&amp;dst=100192" TargetMode = "External"/><Relationship Id="rId371" Type="http://schemas.openxmlformats.org/officeDocument/2006/relationships/hyperlink" Target="https://login.consultant.ru/link/?req=doc&amp;base=LAW&amp;n=523948&amp;dst=100210" TargetMode = "External"/><Relationship Id="rId372" Type="http://schemas.openxmlformats.org/officeDocument/2006/relationships/hyperlink" Target="https://login.consultant.ru/link/?req=doc&amp;base=LAW&amp;n=531409&amp;dst=1904" TargetMode = "External"/><Relationship Id="rId373" Type="http://schemas.openxmlformats.org/officeDocument/2006/relationships/hyperlink" Target="https://login.consultant.ru/link/?req=doc&amp;base=LAW&amp;n=508506&amp;dst=102359" TargetMode = "External"/><Relationship Id="rId374" Type="http://schemas.openxmlformats.org/officeDocument/2006/relationships/hyperlink" Target="https://login.consultant.ru/link/?req=doc&amp;base=LAW&amp;n=523948&amp;dst=100191" TargetMode = "External"/><Relationship Id="rId375" Type="http://schemas.openxmlformats.org/officeDocument/2006/relationships/hyperlink" Target="https://login.consultant.ru/link/?req=doc&amp;base=LAW&amp;n=508506&amp;dst=533" TargetMode = "External"/><Relationship Id="rId376" Type="http://schemas.openxmlformats.org/officeDocument/2006/relationships/hyperlink" Target="https://login.consultant.ru/link/?req=doc&amp;base=LAW&amp;n=508506&amp;dst=554" TargetMode = "External"/><Relationship Id="rId377" Type="http://schemas.openxmlformats.org/officeDocument/2006/relationships/hyperlink" Target="https://login.consultant.ru/link/?req=doc&amp;base=LAW&amp;n=508506&amp;dst=557" TargetMode = "External"/><Relationship Id="rId378" Type="http://schemas.openxmlformats.org/officeDocument/2006/relationships/hyperlink" Target="https://login.consultant.ru/link/?req=doc&amp;base=LAW&amp;n=523948&amp;dst=100191" TargetMode = "External"/><Relationship Id="rId379" Type="http://schemas.openxmlformats.org/officeDocument/2006/relationships/hyperlink" Target="https://login.consultant.ru/link/?req=doc&amp;base=LAW&amp;n=523948&amp;dst=100191" TargetMode = "External"/><Relationship Id="rId380" Type="http://schemas.openxmlformats.org/officeDocument/2006/relationships/hyperlink" Target="https://login.consultant.ru/link/?req=doc&amp;base=LAW&amp;n=389806" TargetMode = "External"/><Relationship Id="rId381" Type="http://schemas.openxmlformats.org/officeDocument/2006/relationships/hyperlink" Target="https://login.consultant.ru/link/?req=doc&amp;base=LAW&amp;n=389806" TargetMode = "External"/><Relationship Id="rId382" Type="http://schemas.openxmlformats.org/officeDocument/2006/relationships/hyperlink" Target="https://login.consultant.ru/link/?req=doc&amp;base=LAW&amp;n=523948&amp;dst=100192" TargetMode = "External"/><Relationship Id="rId383" Type="http://schemas.openxmlformats.org/officeDocument/2006/relationships/hyperlink" Target="https://login.consultant.ru/link/?req=doc&amp;base=LAW&amp;n=531631" TargetMode = "External"/><Relationship Id="rId384" Type="http://schemas.openxmlformats.org/officeDocument/2006/relationships/hyperlink" Target="https://login.consultant.ru/link/?req=doc&amp;base=LAW&amp;n=523948&amp;dst=100194" TargetMode = "External"/><Relationship Id="rId385" Type="http://schemas.openxmlformats.org/officeDocument/2006/relationships/hyperlink" Target="https://login.consultant.ru/link/?req=doc&amp;base=LAW&amp;n=523948&amp;dst=100195" TargetMode = "External"/><Relationship Id="rId386" Type="http://schemas.openxmlformats.org/officeDocument/2006/relationships/hyperlink" Target="https://login.consultant.ru/link/?req=doc&amp;base=LAW&amp;n=523948&amp;dst=100045" TargetMode = "External"/><Relationship Id="rId387" Type="http://schemas.openxmlformats.org/officeDocument/2006/relationships/hyperlink" Target="https://login.consultant.ru/link/?req=doc&amp;base=LAW&amp;n=523948&amp;dst=100191" TargetMode = "External"/><Relationship Id="rId388" Type="http://schemas.openxmlformats.org/officeDocument/2006/relationships/hyperlink" Target="https://login.consultant.ru/link/?req=doc&amp;base=LAW&amp;n=523948&amp;dst=100191" TargetMode = "External"/><Relationship Id="rId389" Type="http://schemas.openxmlformats.org/officeDocument/2006/relationships/hyperlink" Target="https://login.consultant.ru/link/?req=doc&amp;base=LAW&amp;n=523948&amp;dst=100198" TargetMode = "External"/><Relationship Id="rId390" Type="http://schemas.openxmlformats.org/officeDocument/2006/relationships/hyperlink" Target="https://login.consultant.ru/link/?req=doc&amp;base=LAW&amp;n=523948&amp;dst=100198" TargetMode = "External"/><Relationship Id="rId391" Type="http://schemas.openxmlformats.org/officeDocument/2006/relationships/hyperlink" Target="https://login.consultant.ru/link/?req=doc&amp;base=LAW&amp;n=523948&amp;dst=100210" TargetMode = "External"/><Relationship Id="rId392" Type="http://schemas.openxmlformats.org/officeDocument/2006/relationships/hyperlink" Target="https://login.consultant.ru/link/?req=doc&amp;base=LAW&amp;n=523948&amp;dst=100210" TargetMode = "External"/><Relationship Id="rId393" Type="http://schemas.openxmlformats.org/officeDocument/2006/relationships/hyperlink" Target="https://login.consultant.ru/link/?req=doc&amp;base=LAW&amp;n=523948&amp;dst=100192" TargetMode = "External"/><Relationship Id="rId394" Type="http://schemas.openxmlformats.org/officeDocument/2006/relationships/hyperlink" Target="https://login.consultant.ru/link/?req=doc&amp;base=LAW&amp;n=523948&amp;dst=100214" TargetMode = "External"/><Relationship Id="rId395" Type="http://schemas.openxmlformats.org/officeDocument/2006/relationships/hyperlink" Target="https://login.consultant.ru/link/?req=doc&amp;base=LAW&amp;n=523948&amp;dst=100214" TargetMode = "External"/><Relationship Id="rId396" Type="http://schemas.openxmlformats.org/officeDocument/2006/relationships/hyperlink" Target="https://login.consultant.ru/link/?req=doc&amp;base=LAW&amp;n=523948&amp;dst=100214" TargetMode = "External"/><Relationship Id="rId397" Type="http://schemas.openxmlformats.org/officeDocument/2006/relationships/hyperlink" Target="https://login.consultant.ru/link/?req=doc&amp;base=LAW&amp;n=523948&amp;dst=100216" TargetMode = "External"/><Relationship Id="rId398" Type="http://schemas.openxmlformats.org/officeDocument/2006/relationships/hyperlink" Target="https://login.consultant.ru/link/?req=doc&amp;base=LAW&amp;n=523948&amp;dst=100216" TargetMode = "External"/><Relationship Id="rId399" Type="http://schemas.openxmlformats.org/officeDocument/2006/relationships/hyperlink" Target="https://login.consultant.ru/link/?req=doc&amp;base=LAW&amp;n=523948&amp;dst=100214" TargetMode = "External"/><Relationship Id="rId400" Type="http://schemas.openxmlformats.org/officeDocument/2006/relationships/hyperlink" Target="https://login.consultant.ru/link/?req=doc&amp;base=LAW&amp;n=523948&amp;dst=100215" TargetMode = "External"/><Relationship Id="rId401" Type="http://schemas.openxmlformats.org/officeDocument/2006/relationships/hyperlink" Target="https://login.consultant.ru/link/?req=doc&amp;base=LAW&amp;n=523948&amp;dst=100216" TargetMode = "External"/><Relationship Id="rId402" Type="http://schemas.openxmlformats.org/officeDocument/2006/relationships/hyperlink" Target="https://login.consultant.ru/link/?req=doc&amp;base=LAW&amp;n=523290" TargetMode = "External"/><Relationship Id="rId403" Type="http://schemas.openxmlformats.org/officeDocument/2006/relationships/hyperlink" Target="https://login.consultant.ru/link/?req=doc&amp;base=LAW&amp;n=427624" TargetMode = "External"/><Relationship Id="rId404" Type="http://schemas.openxmlformats.org/officeDocument/2006/relationships/hyperlink" Target="https://mintrud.gov.ru/ministry/programms/anticorruption/9/21" TargetMode = "External"/><Relationship Id="rId405" Type="http://schemas.openxmlformats.org/officeDocument/2006/relationships/hyperlink" Target="https://login.consultant.ru/link/?req=doc&amp;base=LAW&amp;n=523948&amp;dst=100230" TargetMode = "External"/><Relationship Id="rId406" Type="http://schemas.openxmlformats.org/officeDocument/2006/relationships/hyperlink" Target="https://login.consultant.ru/link/?req=doc&amp;base=LAW&amp;n=523948&amp;dst=100231" TargetMode = "External"/><Relationship Id="rId407" Type="http://schemas.openxmlformats.org/officeDocument/2006/relationships/hyperlink" Target="https://login.consultant.ru/link/?req=doc&amp;base=LAW&amp;n=523948&amp;dst=100231" TargetMode = "External"/><Relationship Id="rId408" Type="http://schemas.openxmlformats.org/officeDocument/2006/relationships/hyperlink" Target="https://login.consultant.ru/link/?req=doc&amp;base=LAW&amp;n=523948&amp;dst=100231" TargetMode = "External"/><Relationship Id="rId409" Type="http://schemas.openxmlformats.org/officeDocument/2006/relationships/hyperlink" Target="https://login.consultant.ru/link/?req=doc&amp;base=LAW&amp;n=523948&amp;dst=100045" TargetMode = "External"/><Relationship Id="rId410" Type="http://schemas.openxmlformats.org/officeDocument/2006/relationships/hyperlink" Target="https://login.consultant.ru/link/?req=doc&amp;base=LAW&amp;n=523948&amp;dst=100231" TargetMode = "External"/><Relationship Id="rId411" Type="http://schemas.openxmlformats.org/officeDocument/2006/relationships/hyperlink" Target="https://login.consultant.ru/link/?req=doc&amp;base=LAW&amp;n=523948&amp;dst=100231" TargetMode = "External"/><Relationship Id="rId412" Type="http://schemas.openxmlformats.org/officeDocument/2006/relationships/hyperlink" Target="https://login.consultant.ru/link/?req=doc&amp;base=LAW&amp;n=523948&amp;dst=100105" TargetMode = "External"/><Relationship Id="rId413" Type="http://schemas.openxmlformats.org/officeDocument/2006/relationships/hyperlink" Target="https://login.consultant.ru/link/?req=doc&amp;base=LAW&amp;n=523948&amp;dst=100045" TargetMode = "External"/><Relationship Id="rId414" Type="http://schemas.openxmlformats.org/officeDocument/2006/relationships/hyperlink" Target="https://login.consultant.ru/link/?req=doc&amp;base=LAW&amp;n=523948&amp;dst=100105" TargetMode = "External"/><Relationship Id="rId415" Type="http://schemas.openxmlformats.org/officeDocument/2006/relationships/hyperlink" Target="https://login.consultant.ru/link/?req=doc&amp;base=LAW&amp;n=523948&amp;dst=100231" TargetMode = "External"/><Relationship Id="rId416" Type="http://schemas.openxmlformats.org/officeDocument/2006/relationships/hyperlink" Target="https://login.consultant.ru/link/?req=doc&amp;base=LAW&amp;n=523948&amp;dst=100231" TargetMode = "External"/><Relationship Id="rId417" Type="http://schemas.openxmlformats.org/officeDocument/2006/relationships/hyperlink" Target="https://login.consultant.ru/link/?req=doc&amp;base=LAW&amp;n=523948&amp;dst=100233" TargetMode = "External"/><Relationship Id="rId418" Type="http://schemas.openxmlformats.org/officeDocument/2006/relationships/hyperlink" Target="https://login.consultant.ru/link/?req=doc&amp;base=LAW&amp;n=523948&amp;dst=100234" TargetMode = "External"/><Relationship Id="rId419" Type="http://schemas.openxmlformats.org/officeDocument/2006/relationships/hyperlink" Target="https://login.consultant.ru/link/?req=doc&amp;base=LAW&amp;n=523948&amp;dst=100235" TargetMode = "External"/><Relationship Id="rId420" Type="http://schemas.openxmlformats.org/officeDocument/2006/relationships/hyperlink" Target="https://login.consultant.ru/link/?req=doc&amp;base=LAW&amp;n=523948&amp;dst=100231" TargetMode = "External"/><Relationship Id="rId421" Type="http://schemas.openxmlformats.org/officeDocument/2006/relationships/hyperlink" Target="https://login.consultant.ru/link/?req=doc&amp;base=LAW&amp;n=523948&amp;dst=100105" TargetMode = "External"/><Relationship Id="rId422" Type="http://schemas.openxmlformats.org/officeDocument/2006/relationships/hyperlink" Target="https://login.consultant.ru/link/?req=doc&amp;base=LAW&amp;n=523948&amp;dst=100231" TargetMode = "External"/><Relationship Id="rId423" Type="http://schemas.openxmlformats.org/officeDocument/2006/relationships/hyperlink" Target="https://login.consultant.ru/link/?req=doc&amp;base=LAW&amp;n=523948&amp;dst=100105" TargetMode = "External"/><Relationship Id="rId424" Type="http://schemas.openxmlformats.org/officeDocument/2006/relationships/hyperlink" Target="https://login.consultant.ru/link/?req=doc&amp;base=LAW&amp;n=523948&amp;dst=100045" TargetMode = "External"/><Relationship Id="rId425" Type="http://schemas.openxmlformats.org/officeDocument/2006/relationships/hyperlink" Target="https://login.consultant.ru/link/?req=doc&amp;base=LAW&amp;n=523948&amp;dst=100231" TargetMode = "External"/><Relationship Id="rId426" Type="http://schemas.openxmlformats.org/officeDocument/2006/relationships/hyperlink" Target="https://login.consultant.ru/link/?req=doc&amp;base=LAW&amp;n=523948&amp;dst=100237" TargetMode = "External"/><Relationship Id="rId427" Type="http://schemas.openxmlformats.org/officeDocument/2006/relationships/hyperlink" Target="https://login.consultant.ru/link/?req=doc&amp;base=LAW&amp;n=523948&amp;dst=100247" TargetMode = "External"/><Relationship Id="rId428" Type="http://schemas.openxmlformats.org/officeDocument/2006/relationships/hyperlink" Target="https://login.consultant.ru/link/?req=doc&amp;base=LAW&amp;n=523948&amp;dst=100247" TargetMode = "External"/><Relationship Id="rId429" Type="http://schemas.openxmlformats.org/officeDocument/2006/relationships/hyperlink" Target="https://login.consultant.ru/link/?req=doc&amp;base=LAW&amp;n=523948&amp;dst=100247" TargetMode = "External"/><Relationship Id="rId430" Type="http://schemas.openxmlformats.org/officeDocument/2006/relationships/hyperlink" Target="https://login.consultant.ru/link/?req=doc&amp;base=LAW&amp;n=523948&amp;dst=100045" TargetMode = "External"/><Relationship Id="rId431" Type="http://schemas.openxmlformats.org/officeDocument/2006/relationships/hyperlink" Target="https://login.consultant.ru/link/?req=doc&amp;base=LAW&amp;n=523948&amp;dst=100247" TargetMode = "External"/><Relationship Id="rId432" Type="http://schemas.openxmlformats.org/officeDocument/2006/relationships/hyperlink" Target="https://login.consultant.ru/link/?req=doc&amp;base=LAW&amp;n=523948&amp;dst=100249" TargetMode = "External"/><Relationship Id="rId433" Type="http://schemas.openxmlformats.org/officeDocument/2006/relationships/hyperlink" Target="https://login.consultant.ru/link/?req=doc&amp;base=LAW&amp;n=523948&amp;dst=100250" TargetMode = "External"/><Relationship Id="rId434" Type="http://schemas.openxmlformats.org/officeDocument/2006/relationships/hyperlink" Target="https://login.consultant.ru/link/?req=doc&amp;base=LAW&amp;n=523948&amp;dst=100250" TargetMode = "External"/><Relationship Id="rId435" Type="http://schemas.openxmlformats.org/officeDocument/2006/relationships/hyperlink" Target="https://login.consultant.ru/link/?req=doc&amp;base=LAW&amp;n=523948&amp;dst=100250" TargetMode = "External"/><Relationship Id="rId436" Type="http://schemas.openxmlformats.org/officeDocument/2006/relationships/hyperlink" Target="https://login.consultant.ru/link/?req=doc&amp;base=LAW&amp;n=523948&amp;dst=100251" TargetMode = "External"/><Relationship Id="rId437" Type="http://schemas.openxmlformats.org/officeDocument/2006/relationships/hyperlink" Target="https://login.consultant.ru/link/?req=doc&amp;base=LAW&amp;n=523948&amp;dst=100252" TargetMode = "External"/><Relationship Id="rId438" Type="http://schemas.openxmlformats.org/officeDocument/2006/relationships/hyperlink" Target="https://login.consultant.ru/link/?req=doc&amp;base=LAW&amp;n=523948&amp;dst=100045" TargetMode = "External"/><Relationship Id="rId439" Type="http://schemas.openxmlformats.org/officeDocument/2006/relationships/hyperlink" Target="https://login.consultant.ru/link/?req=doc&amp;base=LAW&amp;n=523948&amp;dst=100045" TargetMode = "External"/><Relationship Id="rId440" Type="http://schemas.openxmlformats.org/officeDocument/2006/relationships/hyperlink" Target="https://login.consultant.ru/link/?req=doc&amp;base=LAW&amp;n=523948&amp;dst=100253" TargetMode = "External"/><Relationship Id="rId441" Type="http://schemas.openxmlformats.org/officeDocument/2006/relationships/hyperlink" Target="https://login.consultant.ru/link/?req=doc&amp;base=LAW&amp;n=507470" TargetMode = "External"/><Relationship Id="rId442" Type="http://schemas.openxmlformats.org/officeDocument/2006/relationships/hyperlink" Target="https://login.consultant.ru/link/?req=doc&amp;base=LAW&amp;n=523948&amp;dst=100247" TargetMode = "External"/><Relationship Id="rId443" Type="http://schemas.openxmlformats.org/officeDocument/2006/relationships/hyperlink" Target="https://login.consultant.ru/link/?req=doc&amp;base=LAW&amp;n=523948&amp;dst=100247" TargetMode = "External"/><Relationship Id="rId444" Type="http://schemas.openxmlformats.org/officeDocument/2006/relationships/hyperlink" Target="https://login.consultant.ru/link/?req=doc&amp;base=LAW&amp;n=389806" TargetMode = "External"/><Relationship Id="rId445" Type="http://schemas.openxmlformats.org/officeDocument/2006/relationships/hyperlink" Target="https://login.consultant.ru/link/?req=doc&amp;base=LAW&amp;n=523948&amp;dst=100247" TargetMode = "External"/><Relationship Id="rId446" Type="http://schemas.openxmlformats.org/officeDocument/2006/relationships/hyperlink" Target="https://login.consultant.ru/link/?req=doc&amp;base=LAW&amp;n=523948&amp;dst=100247" TargetMode = "External"/><Relationship Id="rId447" Type="http://schemas.openxmlformats.org/officeDocument/2006/relationships/hyperlink" Target="https://login.consultant.ru/link/?req=doc&amp;base=LAW&amp;n=523948&amp;dst=100250" TargetMode = "External"/><Relationship Id="rId448" Type="http://schemas.openxmlformats.org/officeDocument/2006/relationships/hyperlink" Target="https://login.consultant.ru/link/?req=doc&amp;base=LAW&amp;n=523948&amp;dst=100247" TargetMode = "External"/><Relationship Id="rId449" Type="http://schemas.openxmlformats.org/officeDocument/2006/relationships/hyperlink" Target="https://login.consultant.ru/link/?req=doc&amp;base=LAW&amp;n=523948&amp;dst=100253" TargetMode = "External"/><Relationship Id="rId450" Type="http://schemas.openxmlformats.org/officeDocument/2006/relationships/hyperlink" Target="https://login.consultant.ru/link/?req=doc&amp;base=LAW&amp;n=523948&amp;dst=100252" TargetMode = "External"/><Relationship Id="rId451" Type="http://schemas.openxmlformats.org/officeDocument/2006/relationships/hyperlink" Target="https://login.consultant.ru/link/?req=doc&amp;base=LAW&amp;n=523948&amp;dst=100045" TargetMode = "External"/><Relationship Id="rId452" Type="http://schemas.openxmlformats.org/officeDocument/2006/relationships/hyperlink" Target="https://login.consultant.ru/link/?req=doc&amp;base=LAW&amp;n=511076&amp;dst=100693" TargetMode = "External"/><Relationship Id="rId453" Type="http://schemas.openxmlformats.org/officeDocument/2006/relationships/hyperlink" Target="https://login.consultant.ru/link/?req=doc&amp;base=LAW&amp;n=511076&amp;dst=100067" TargetMode = "External"/><Relationship Id="rId454" Type="http://schemas.openxmlformats.org/officeDocument/2006/relationships/hyperlink" Target="https://login.consultant.ru/link/?req=doc&amp;base=LAW&amp;n=523948&amp;dst=100252" TargetMode = "External"/><Relationship Id="rId455" Type="http://schemas.openxmlformats.org/officeDocument/2006/relationships/hyperlink" Target="https://login.consultant.ru/link/?req=doc&amp;base=LAW&amp;n=523948&amp;dst=100045" TargetMode = "External"/><Relationship Id="rId456" Type="http://schemas.openxmlformats.org/officeDocument/2006/relationships/hyperlink" Target="https://login.consultant.ru/link/?req=doc&amp;base=LAW&amp;n=523948&amp;dst=100253" TargetMode = "External"/><Relationship Id="rId457" Type="http://schemas.openxmlformats.org/officeDocument/2006/relationships/hyperlink" Target="https://login.consultant.ru/link/?req=doc&amp;base=LAW&amp;n=531409" TargetMode = "External"/><Relationship Id="rId458" Type="http://schemas.openxmlformats.org/officeDocument/2006/relationships/hyperlink" Target="https://login.consultant.ru/link/?req=doc&amp;base=LAW&amp;n=531409" TargetMode = "External"/><Relationship Id="rId459" Type="http://schemas.openxmlformats.org/officeDocument/2006/relationships/hyperlink" Target="https://login.consultant.ru/link/?req=doc&amp;base=LAW&amp;n=523948&amp;dst=100045" TargetMode = "External"/><Relationship Id="rId460" Type="http://schemas.openxmlformats.org/officeDocument/2006/relationships/hyperlink" Target="https://login.consultant.ru/link/?req=doc&amp;base=LAW&amp;n=523948&amp;dst=100247" TargetMode = "External"/><Relationship Id="rId461" Type="http://schemas.openxmlformats.org/officeDocument/2006/relationships/hyperlink" Target="https://login.consultant.ru/link/?req=doc&amp;base=LAW&amp;n=523948&amp;dst=100247" TargetMode = "External"/><Relationship Id="rId462" Type="http://schemas.openxmlformats.org/officeDocument/2006/relationships/hyperlink" Target="https://login.consultant.ru/link/?req=doc&amp;base=LAW&amp;n=523948&amp;dst=100045" TargetMode = "External"/><Relationship Id="rId463" Type="http://schemas.openxmlformats.org/officeDocument/2006/relationships/hyperlink" Target="https://login.consultant.ru/link/?req=doc&amp;base=LAW&amp;n=389806" TargetMode = "External"/><Relationship Id="rId464" Type="http://schemas.openxmlformats.org/officeDocument/2006/relationships/hyperlink" Target="https://login.consultant.ru/link/?req=doc&amp;base=LAW&amp;n=389806" TargetMode = "External"/><Relationship Id="rId465" Type="http://schemas.openxmlformats.org/officeDocument/2006/relationships/hyperlink" Target="https://login.consultant.ru/link/?req=doc&amp;base=LAW&amp;n=523948&amp;dst=100045" TargetMode = "External"/><Relationship Id="rId466" Type="http://schemas.openxmlformats.org/officeDocument/2006/relationships/hyperlink" Target="https://login.consultant.ru/link/?req=doc&amp;base=LAW&amp;n=531409" TargetMode = "External"/><Relationship Id="rId467" Type="http://schemas.openxmlformats.org/officeDocument/2006/relationships/hyperlink" Target="https://login.consultant.ru/link/?req=doc&amp;base=LAW&amp;n=523948&amp;dst=100247" TargetMode = "External"/><Relationship Id="rId468" Type="http://schemas.openxmlformats.org/officeDocument/2006/relationships/hyperlink" Target="https://login.consultant.ru/link/?req=doc&amp;base=LAW&amp;n=523948&amp;dst=119" TargetMode = "External"/><Relationship Id="rId469" Type="http://schemas.openxmlformats.org/officeDocument/2006/relationships/hyperlink" Target="https://login.consultant.ru/link/?req=doc&amp;base=LAW&amp;n=523948&amp;dst=119" TargetMode = "External"/><Relationship Id="rId470" Type="http://schemas.openxmlformats.org/officeDocument/2006/relationships/hyperlink" Target="https://login.consultant.ru/link/?req=doc&amp;base=LAW&amp;n=523948&amp;dst=119" TargetMode = "External"/><Relationship Id="rId471" Type="http://schemas.openxmlformats.org/officeDocument/2006/relationships/hyperlink" Target="https://login.consultant.ru/link/?req=doc&amp;base=LAW&amp;n=523948&amp;dst=119" TargetMode = "External"/><Relationship Id="rId472" Type="http://schemas.openxmlformats.org/officeDocument/2006/relationships/hyperlink" Target="https://login.consultant.ru/link/?req=doc&amp;base=LAW&amp;n=523948&amp;dst=119" TargetMode = "External"/><Relationship Id="rId473" Type="http://schemas.openxmlformats.org/officeDocument/2006/relationships/hyperlink" Target="https://login.consultant.ru/link/?req=doc&amp;base=LAW&amp;n=523948&amp;dst=119" TargetMode = "External"/><Relationship Id="rId474" Type="http://schemas.openxmlformats.org/officeDocument/2006/relationships/hyperlink" Target="https://login.consultant.ru/link/?req=doc&amp;base=LAW&amp;n=523948&amp;dst=128" TargetMode = "External"/><Relationship Id="rId475" Type="http://schemas.openxmlformats.org/officeDocument/2006/relationships/hyperlink" Target="https://login.consultant.ru/link/?req=doc&amp;base=LAW&amp;n=523948&amp;dst=133" TargetMode = "External"/><Relationship Id="rId476" Type="http://schemas.openxmlformats.org/officeDocument/2006/relationships/hyperlink" Target="https://login.consultant.ru/link/?req=doc&amp;base=LAW&amp;n=523948&amp;dst=138" TargetMode = "External"/><Relationship Id="rId477" Type="http://schemas.openxmlformats.org/officeDocument/2006/relationships/hyperlink" Target="https://login.consultant.ru/link/?req=doc&amp;base=LAW&amp;n=523948&amp;dst=143" TargetMode = "External"/><Relationship Id="rId478" Type="http://schemas.openxmlformats.org/officeDocument/2006/relationships/hyperlink" Target="https://login.consultant.ru/link/?req=doc&amp;base=LAW&amp;n=523948&amp;dst=148" TargetMode = "External"/><Relationship Id="rId479" Type="http://schemas.openxmlformats.org/officeDocument/2006/relationships/hyperlink" Target="https://login.consultant.ru/link/?req=doc&amp;base=LAW&amp;n=523948&amp;dst=153" TargetMode = "External"/><Relationship Id="rId480" Type="http://schemas.openxmlformats.org/officeDocument/2006/relationships/hyperlink" Target="https://login.consultant.ru/link/?req=doc&amp;base=LAW&amp;n=523948&amp;dst=158" TargetMode = "External"/><Relationship Id="rId481" Type="http://schemas.openxmlformats.org/officeDocument/2006/relationships/hyperlink" Target="https://login.consultant.ru/link/?req=doc&amp;base=LAW&amp;n=523948&amp;dst=163" TargetMode = "External"/><Relationship Id="rId482" Type="http://schemas.openxmlformats.org/officeDocument/2006/relationships/hyperlink" Target="https://login.consultant.ru/link/?req=doc&amp;base=LAW&amp;n=523948&amp;dst=122" TargetMode = "External"/><Relationship Id="rId483" Type="http://schemas.openxmlformats.org/officeDocument/2006/relationships/hyperlink" Target="https://login.consultant.ru/link/?req=doc&amp;base=LAW&amp;n=523948&amp;dst=122" TargetMode = "External"/><Relationship Id="rId484" Type="http://schemas.openxmlformats.org/officeDocument/2006/relationships/hyperlink" Target="https://login.consultant.ru/link/?req=doc&amp;base=LAW&amp;n=523948&amp;dst=123"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2026 году (за отчетный 2025 год)"
(утв. Минтрудом России)</dc:title>
  <dcterms:created xsi:type="dcterms:W3CDTF">2026-06-08T09:05:26Z</dcterms:created>
</cp:coreProperties>
</file>